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16" w:rsidRPr="00E10AC4" w:rsidRDefault="00E10AC4" w:rsidP="00FC0743">
      <w:pPr>
        <w:spacing w:line="240" w:lineRule="auto"/>
        <w:jc w:val="center"/>
        <w:rPr>
          <w:b/>
          <w:sz w:val="28"/>
          <w:szCs w:val="20"/>
          <w:u w:val="single"/>
        </w:rPr>
      </w:pPr>
      <w:r w:rsidRPr="00E10AC4">
        <w:rPr>
          <w:b/>
          <w:sz w:val="28"/>
          <w:szCs w:val="20"/>
          <w:u w:val="single"/>
        </w:rPr>
        <w:t>List of European Commission funded projects</w:t>
      </w:r>
    </w:p>
    <w:p w:rsidR="00B70216" w:rsidRDefault="00D42950" w:rsidP="00D42950">
      <w:pPr>
        <w:jc w:val="right"/>
        <w:rPr>
          <w:b/>
          <w:szCs w:val="20"/>
          <w:lang w:val="en-GB"/>
        </w:rPr>
      </w:pPr>
      <w:r w:rsidRPr="00D42950">
        <w:rPr>
          <w:b/>
          <w:szCs w:val="20"/>
          <w:lang w:val="en-GB"/>
        </w:rPr>
        <w:t>2009-201</w:t>
      </w:r>
      <w:r w:rsidR="00207317">
        <w:rPr>
          <w:b/>
          <w:szCs w:val="20"/>
          <w:lang w:val="en-GB"/>
        </w:rPr>
        <w:t>7</w:t>
      </w:r>
    </w:p>
    <w:p w:rsidR="001E363D" w:rsidRPr="001E363D" w:rsidRDefault="001E363D" w:rsidP="00D42950">
      <w:pPr>
        <w:jc w:val="right"/>
        <w:rPr>
          <w:b/>
          <w:color w:val="FF0000"/>
          <w:szCs w:val="20"/>
          <w:lang w:val="en-GB"/>
        </w:rPr>
      </w:pPr>
      <w:r w:rsidRPr="001E363D">
        <w:rPr>
          <w:b/>
          <w:color w:val="FF0000"/>
          <w:szCs w:val="20"/>
          <w:lang w:val="en-GB"/>
        </w:rPr>
        <w:t>(</w:t>
      </w:r>
      <w:proofErr w:type="gramStart"/>
      <w:r w:rsidRPr="001E363D">
        <w:rPr>
          <w:b/>
          <w:color w:val="FF0000"/>
          <w:szCs w:val="20"/>
          <w:lang w:val="en-GB"/>
        </w:rPr>
        <w:t>those</w:t>
      </w:r>
      <w:proofErr w:type="gramEnd"/>
      <w:r w:rsidRPr="001E363D">
        <w:rPr>
          <w:b/>
          <w:color w:val="FF0000"/>
          <w:szCs w:val="20"/>
          <w:lang w:val="en-GB"/>
        </w:rPr>
        <w:t xml:space="preserve"> in red fonts have been completed)</w:t>
      </w:r>
    </w:p>
    <w:tbl>
      <w:tblPr>
        <w:tblStyle w:val="TableGrid"/>
        <w:tblW w:w="0" w:type="auto"/>
        <w:tblLook w:val="04A0" w:firstRow="1" w:lastRow="0" w:firstColumn="1" w:lastColumn="0" w:noHBand="0" w:noVBand="1"/>
      </w:tblPr>
      <w:tblGrid>
        <w:gridCol w:w="1786"/>
        <w:gridCol w:w="1543"/>
        <w:gridCol w:w="2271"/>
        <w:gridCol w:w="3387"/>
        <w:gridCol w:w="1346"/>
        <w:gridCol w:w="1225"/>
        <w:gridCol w:w="1618"/>
      </w:tblGrid>
      <w:tr w:rsidR="00E10AC4" w:rsidRPr="004F7546" w:rsidTr="00E10AC4">
        <w:tc>
          <w:tcPr>
            <w:tcW w:w="1786" w:type="dxa"/>
          </w:tcPr>
          <w:p w:rsidR="005724CD" w:rsidRPr="00E10AC4" w:rsidRDefault="005724CD" w:rsidP="00D7357B">
            <w:pPr>
              <w:jc w:val="center"/>
              <w:rPr>
                <w:b/>
                <w:u w:val="single"/>
              </w:rPr>
            </w:pPr>
            <w:proofErr w:type="spellStart"/>
            <w:r w:rsidRPr="00E10AC4">
              <w:rPr>
                <w:b/>
                <w:u w:val="single"/>
              </w:rPr>
              <w:t>Programme</w:t>
            </w:r>
            <w:proofErr w:type="spellEnd"/>
            <w:r w:rsidRPr="00E10AC4">
              <w:rPr>
                <w:b/>
                <w:u w:val="single"/>
              </w:rPr>
              <w:t xml:space="preserve"> Name</w:t>
            </w:r>
          </w:p>
        </w:tc>
        <w:tc>
          <w:tcPr>
            <w:tcW w:w="1543" w:type="dxa"/>
          </w:tcPr>
          <w:p w:rsidR="005724CD" w:rsidRPr="00E10AC4" w:rsidRDefault="005724CD" w:rsidP="00F5407D">
            <w:pPr>
              <w:jc w:val="center"/>
              <w:rPr>
                <w:b/>
                <w:u w:val="single"/>
              </w:rPr>
            </w:pPr>
            <w:r w:rsidRPr="00E10AC4">
              <w:rPr>
                <w:b/>
                <w:u w:val="single"/>
              </w:rPr>
              <w:t>DG Responsible</w:t>
            </w:r>
          </w:p>
        </w:tc>
        <w:tc>
          <w:tcPr>
            <w:tcW w:w="2271" w:type="dxa"/>
          </w:tcPr>
          <w:p w:rsidR="005724CD" w:rsidRPr="00E10AC4" w:rsidRDefault="005724CD" w:rsidP="00D7357B">
            <w:pPr>
              <w:jc w:val="center"/>
              <w:rPr>
                <w:b/>
                <w:u w:val="single"/>
              </w:rPr>
            </w:pPr>
            <w:r w:rsidRPr="00E10AC4">
              <w:rPr>
                <w:b/>
                <w:u w:val="single"/>
              </w:rPr>
              <w:t>Project Title / Acronym</w:t>
            </w:r>
          </w:p>
        </w:tc>
        <w:tc>
          <w:tcPr>
            <w:tcW w:w="3387" w:type="dxa"/>
          </w:tcPr>
          <w:p w:rsidR="005724CD" w:rsidRPr="00E10AC4" w:rsidRDefault="005724CD" w:rsidP="00D7357B">
            <w:pPr>
              <w:jc w:val="center"/>
              <w:rPr>
                <w:b/>
                <w:u w:val="single"/>
              </w:rPr>
            </w:pPr>
            <w:r w:rsidRPr="00E10AC4">
              <w:rPr>
                <w:b/>
                <w:u w:val="single"/>
              </w:rPr>
              <w:t>Brief Description of Project Aim</w:t>
            </w:r>
          </w:p>
        </w:tc>
        <w:tc>
          <w:tcPr>
            <w:tcW w:w="1346" w:type="dxa"/>
          </w:tcPr>
          <w:p w:rsidR="005724CD" w:rsidRPr="00E10AC4" w:rsidRDefault="005724CD" w:rsidP="00D7357B">
            <w:pPr>
              <w:jc w:val="center"/>
              <w:rPr>
                <w:b/>
                <w:u w:val="single"/>
              </w:rPr>
            </w:pPr>
            <w:r w:rsidRPr="00E10AC4">
              <w:rPr>
                <w:b/>
                <w:u w:val="single"/>
              </w:rPr>
              <w:t>Project Period</w:t>
            </w:r>
          </w:p>
          <w:p w:rsidR="005724CD" w:rsidRPr="00E10AC4" w:rsidRDefault="005724CD" w:rsidP="00F44010">
            <w:pPr>
              <w:jc w:val="center"/>
              <w:rPr>
                <w:b/>
                <w:u w:val="single"/>
              </w:rPr>
            </w:pPr>
            <w:r w:rsidRPr="00E10AC4">
              <w:rPr>
                <w:b/>
                <w:u w:val="single"/>
              </w:rPr>
              <w:t>in mm/</w:t>
            </w:r>
            <w:proofErr w:type="spellStart"/>
            <w:r w:rsidRPr="00E10AC4">
              <w:rPr>
                <w:b/>
                <w:u w:val="single"/>
              </w:rPr>
              <w:t>yyyy</w:t>
            </w:r>
            <w:proofErr w:type="spellEnd"/>
          </w:p>
        </w:tc>
        <w:tc>
          <w:tcPr>
            <w:tcW w:w="1225" w:type="dxa"/>
          </w:tcPr>
          <w:p w:rsidR="005724CD" w:rsidRPr="00E10AC4" w:rsidRDefault="005724CD" w:rsidP="00D7357B">
            <w:pPr>
              <w:jc w:val="center"/>
              <w:rPr>
                <w:b/>
                <w:u w:val="single"/>
              </w:rPr>
            </w:pPr>
            <w:r w:rsidRPr="00E10AC4">
              <w:rPr>
                <w:b/>
                <w:u w:val="single"/>
              </w:rPr>
              <w:t xml:space="preserve">EC Financing Amount to our </w:t>
            </w:r>
            <w:proofErr w:type="spellStart"/>
            <w:r w:rsidRPr="00E10AC4">
              <w:rPr>
                <w:b/>
                <w:u w:val="single"/>
              </w:rPr>
              <w:t>Orgzn</w:t>
            </w:r>
            <w:proofErr w:type="spellEnd"/>
            <w:r w:rsidRPr="00E10AC4">
              <w:rPr>
                <w:b/>
                <w:u w:val="single"/>
              </w:rPr>
              <w:t xml:space="preserve"> in €</w:t>
            </w:r>
          </w:p>
        </w:tc>
        <w:tc>
          <w:tcPr>
            <w:tcW w:w="1618" w:type="dxa"/>
          </w:tcPr>
          <w:p w:rsidR="005724CD" w:rsidRPr="00E10AC4" w:rsidRDefault="005724CD" w:rsidP="00D7357B">
            <w:pPr>
              <w:jc w:val="center"/>
              <w:rPr>
                <w:b/>
                <w:u w:val="single"/>
              </w:rPr>
            </w:pPr>
            <w:r w:rsidRPr="00E10AC4">
              <w:rPr>
                <w:b/>
                <w:u w:val="single"/>
              </w:rPr>
              <w:t>Role in project</w:t>
            </w:r>
          </w:p>
          <w:p w:rsidR="005724CD" w:rsidRPr="00E10AC4" w:rsidRDefault="005724CD" w:rsidP="00D7357B">
            <w:pPr>
              <w:jc w:val="center"/>
              <w:rPr>
                <w:b/>
                <w:u w:val="single"/>
              </w:rPr>
            </w:pPr>
            <w:r w:rsidRPr="00E10AC4">
              <w:rPr>
                <w:b/>
                <w:u w:val="single"/>
              </w:rPr>
              <w:t>Leader/Partner</w:t>
            </w:r>
          </w:p>
        </w:tc>
      </w:tr>
      <w:tr w:rsidR="00961D91" w:rsidRPr="004F7546" w:rsidTr="00E10AC4">
        <w:tc>
          <w:tcPr>
            <w:tcW w:w="1786" w:type="dxa"/>
          </w:tcPr>
          <w:p w:rsidR="00961D91" w:rsidRDefault="00961D91" w:rsidP="006509AE">
            <w:pPr>
              <w:jc w:val="center"/>
            </w:pPr>
            <w:r>
              <w:t>COSME</w:t>
            </w:r>
          </w:p>
        </w:tc>
        <w:tc>
          <w:tcPr>
            <w:tcW w:w="1543" w:type="dxa"/>
          </w:tcPr>
          <w:p w:rsidR="00961D91" w:rsidRDefault="00961D91" w:rsidP="006509AE">
            <w:pPr>
              <w:jc w:val="center"/>
            </w:pPr>
            <w:r>
              <w:t>EASME</w:t>
            </w:r>
          </w:p>
        </w:tc>
        <w:tc>
          <w:tcPr>
            <w:tcW w:w="2271" w:type="dxa"/>
          </w:tcPr>
          <w:p w:rsidR="00961D91" w:rsidRPr="00961D91" w:rsidRDefault="00961D91" w:rsidP="0024043E">
            <w:pPr>
              <w:jc w:val="center"/>
              <w:rPr>
                <w:b/>
                <w:sz w:val="24"/>
                <w:szCs w:val="24"/>
                <w:lang w:val="en-GB"/>
              </w:rPr>
            </w:pPr>
            <w:r>
              <w:rPr>
                <w:sz w:val="24"/>
                <w:szCs w:val="24"/>
                <w:lang w:val="en-GB"/>
              </w:rPr>
              <w:t xml:space="preserve">Blue Career Centre of Eastern Mediterranean and Black Sea – </w:t>
            </w:r>
            <w:r>
              <w:rPr>
                <w:b/>
                <w:sz w:val="24"/>
                <w:szCs w:val="24"/>
                <w:lang w:val="en-GB"/>
              </w:rPr>
              <w:t>MENTOR</w:t>
            </w:r>
          </w:p>
        </w:tc>
        <w:tc>
          <w:tcPr>
            <w:tcW w:w="3387" w:type="dxa"/>
          </w:tcPr>
          <w:p w:rsidR="00961D91" w:rsidRDefault="00961D91" w:rsidP="00E10AC4">
            <w:pPr>
              <w:jc w:val="center"/>
              <w:rPr>
                <w:rFonts w:ascii="Tahoma" w:hAnsi="Tahoma" w:cs="Tahoma"/>
                <w:color w:val="000000" w:themeColor="text1"/>
                <w:spacing w:val="-3"/>
                <w:sz w:val="20"/>
                <w:lang w:val="en-GB"/>
              </w:rPr>
            </w:pPr>
            <w:r w:rsidRPr="00961D91">
              <w:rPr>
                <w:rFonts w:ascii="Tahoma" w:hAnsi="Tahoma" w:cs="Tahoma"/>
                <w:color w:val="000000" w:themeColor="text1"/>
                <w:spacing w:val="-3"/>
                <w:sz w:val="20"/>
                <w:lang w:val="en-GB"/>
              </w:rPr>
              <w:t>The proposed Career Centre for the Eastern Mediterranean Sea (EM) and Black Sea (BS</w:t>
            </w:r>
            <w:proofErr w:type="gramStart"/>
            <w:r w:rsidRPr="00961D91">
              <w:rPr>
                <w:rFonts w:ascii="Tahoma" w:hAnsi="Tahoma" w:cs="Tahoma"/>
                <w:color w:val="000000" w:themeColor="text1"/>
                <w:spacing w:val="-3"/>
                <w:sz w:val="20"/>
                <w:lang w:val="en-GB"/>
              </w:rPr>
              <w:t>),</w:t>
            </w:r>
            <w:proofErr w:type="gramEnd"/>
            <w:r w:rsidRPr="00961D91">
              <w:rPr>
                <w:rFonts w:ascii="Tahoma" w:hAnsi="Tahoma" w:cs="Tahoma"/>
                <w:color w:val="000000" w:themeColor="text1"/>
                <w:spacing w:val="-3"/>
                <w:sz w:val="20"/>
                <w:lang w:val="en-GB"/>
              </w:rPr>
              <w:t xml:space="preserve"> aims to attract young people and experienced workers and fill existing skills' gaps by supporting activities that will increase employability in key Blue sectors of the region: Maritime Transport (shipping, ports, ship-repairs and shipbuilding), cruise and nautical tourism, aquaculture and offshore oil and gas. The proposed Blue Career Centre seeks to provide prospects for young jobseekers in the above sectors to support businesses in finding the right staff with proper qualifications</w:t>
            </w:r>
            <w:bookmarkStart w:id="0" w:name="_GoBack"/>
            <w:bookmarkEnd w:id="0"/>
          </w:p>
        </w:tc>
        <w:tc>
          <w:tcPr>
            <w:tcW w:w="1346" w:type="dxa"/>
          </w:tcPr>
          <w:p w:rsidR="00961D91" w:rsidRDefault="00961D91" w:rsidP="00164F43">
            <w:pPr>
              <w:rPr>
                <w:lang w:val="en-GB"/>
              </w:rPr>
            </w:pPr>
            <w:r>
              <w:rPr>
                <w:lang w:val="en-GB"/>
              </w:rPr>
              <w:t>March 2017 – March 2019</w:t>
            </w:r>
          </w:p>
        </w:tc>
        <w:tc>
          <w:tcPr>
            <w:tcW w:w="1225" w:type="dxa"/>
          </w:tcPr>
          <w:p w:rsidR="00961D91" w:rsidRDefault="00961D91" w:rsidP="006509AE">
            <w:pPr>
              <w:jc w:val="center"/>
            </w:pPr>
            <w:r>
              <w:t>59,000</w:t>
            </w:r>
          </w:p>
        </w:tc>
        <w:tc>
          <w:tcPr>
            <w:tcW w:w="1618" w:type="dxa"/>
          </w:tcPr>
          <w:p w:rsidR="00961D91" w:rsidRDefault="00961D91" w:rsidP="006509AE">
            <w:pPr>
              <w:jc w:val="center"/>
            </w:pPr>
            <w:r>
              <w:t>Partner</w:t>
            </w:r>
          </w:p>
        </w:tc>
      </w:tr>
      <w:tr w:rsidR="00207317" w:rsidRPr="004F7546" w:rsidTr="00E10AC4">
        <w:tc>
          <w:tcPr>
            <w:tcW w:w="1786" w:type="dxa"/>
          </w:tcPr>
          <w:p w:rsidR="00207317" w:rsidRDefault="00207317" w:rsidP="006509AE">
            <w:pPr>
              <w:jc w:val="center"/>
            </w:pPr>
            <w:r>
              <w:t xml:space="preserve">Interreg MED (Priority Axis 1.1) </w:t>
            </w:r>
          </w:p>
        </w:tc>
        <w:tc>
          <w:tcPr>
            <w:tcW w:w="1543" w:type="dxa"/>
          </w:tcPr>
          <w:p w:rsidR="00207317" w:rsidRDefault="00961D91" w:rsidP="006509AE">
            <w:pPr>
              <w:jc w:val="center"/>
            </w:pPr>
            <w:r>
              <w:t>REGIO</w:t>
            </w:r>
          </w:p>
        </w:tc>
        <w:tc>
          <w:tcPr>
            <w:tcW w:w="2271" w:type="dxa"/>
          </w:tcPr>
          <w:p w:rsidR="00207317" w:rsidRDefault="00164F43" w:rsidP="0024043E">
            <w:pPr>
              <w:jc w:val="center"/>
              <w:rPr>
                <w:b/>
                <w:sz w:val="24"/>
                <w:szCs w:val="24"/>
                <w:lang w:val="en-GB"/>
              </w:rPr>
            </w:pPr>
            <w:r w:rsidRPr="00164F43">
              <w:rPr>
                <w:sz w:val="24"/>
                <w:szCs w:val="24"/>
                <w:lang w:val="en-GB"/>
              </w:rPr>
              <w:t xml:space="preserve">Investing in sustainable blue growth and competitiveness through 3-pillar </w:t>
            </w:r>
            <w:r w:rsidRPr="00164F43">
              <w:rPr>
                <w:sz w:val="24"/>
                <w:szCs w:val="24"/>
                <w:lang w:val="en-GB"/>
              </w:rPr>
              <w:lastRenderedPageBreak/>
              <w:t xml:space="preserve">business model - </w:t>
            </w:r>
            <w:proofErr w:type="spellStart"/>
            <w:r>
              <w:rPr>
                <w:b/>
                <w:sz w:val="24"/>
                <w:szCs w:val="24"/>
                <w:lang w:val="en-GB"/>
              </w:rPr>
              <w:t>iBlue</w:t>
            </w:r>
            <w:proofErr w:type="spellEnd"/>
          </w:p>
        </w:tc>
        <w:tc>
          <w:tcPr>
            <w:tcW w:w="3387" w:type="dxa"/>
          </w:tcPr>
          <w:p w:rsidR="00207317" w:rsidRDefault="00164F43" w:rsidP="00E10AC4">
            <w:pPr>
              <w:jc w:val="center"/>
              <w:rPr>
                <w:rFonts w:ascii="Tahoma" w:hAnsi="Tahoma" w:cs="Tahoma"/>
                <w:color w:val="000000" w:themeColor="text1"/>
                <w:spacing w:val="-3"/>
                <w:sz w:val="20"/>
                <w:lang w:val="en-GB"/>
              </w:rPr>
            </w:pPr>
            <w:proofErr w:type="spellStart"/>
            <w:proofErr w:type="gramStart"/>
            <w:r>
              <w:rPr>
                <w:rFonts w:ascii="Tahoma" w:hAnsi="Tahoma" w:cs="Tahoma"/>
                <w:color w:val="000000" w:themeColor="text1"/>
                <w:spacing w:val="-3"/>
                <w:sz w:val="20"/>
                <w:lang w:val="en-GB"/>
              </w:rPr>
              <w:lastRenderedPageBreak/>
              <w:t>iBlue</w:t>
            </w:r>
            <w:proofErr w:type="spellEnd"/>
            <w:proofErr w:type="gramEnd"/>
            <w:r>
              <w:rPr>
                <w:rFonts w:ascii="Tahoma" w:hAnsi="Tahoma" w:cs="Tahoma"/>
                <w:color w:val="000000" w:themeColor="text1"/>
                <w:spacing w:val="-3"/>
                <w:sz w:val="20"/>
                <w:lang w:val="en-GB"/>
              </w:rPr>
              <w:t xml:space="preserve"> will contribute to the sustainable relaunch of yachting sector (shipbuilding, nautical services, tourism) creating a MED transnational network to help the economic upturn by sharing business </w:t>
            </w:r>
            <w:r>
              <w:rPr>
                <w:rFonts w:ascii="Tahoma" w:hAnsi="Tahoma" w:cs="Tahoma"/>
                <w:color w:val="000000" w:themeColor="text1"/>
                <w:spacing w:val="-3"/>
                <w:sz w:val="20"/>
                <w:lang w:val="en-GB"/>
              </w:rPr>
              <w:lastRenderedPageBreak/>
              <w:t>models which integrate the 3 pillars of sustainability (environmental, social, economic), developing the 3-PBM methodology.</w:t>
            </w:r>
          </w:p>
        </w:tc>
        <w:tc>
          <w:tcPr>
            <w:tcW w:w="1346" w:type="dxa"/>
          </w:tcPr>
          <w:p w:rsidR="00207317" w:rsidRDefault="00164F43" w:rsidP="00164F43">
            <w:pPr>
              <w:rPr>
                <w:lang w:val="en-GB"/>
              </w:rPr>
            </w:pPr>
            <w:r>
              <w:rPr>
                <w:lang w:val="en-GB"/>
              </w:rPr>
              <w:lastRenderedPageBreak/>
              <w:t>February 2017 – January 2020</w:t>
            </w:r>
          </w:p>
        </w:tc>
        <w:tc>
          <w:tcPr>
            <w:tcW w:w="1225" w:type="dxa"/>
          </w:tcPr>
          <w:p w:rsidR="00207317" w:rsidRDefault="00164F43" w:rsidP="006509AE">
            <w:pPr>
              <w:jc w:val="center"/>
            </w:pPr>
            <w:r>
              <w:t>162,370</w:t>
            </w:r>
          </w:p>
        </w:tc>
        <w:tc>
          <w:tcPr>
            <w:tcW w:w="1618" w:type="dxa"/>
          </w:tcPr>
          <w:p w:rsidR="00207317" w:rsidRDefault="00164F43" w:rsidP="006509AE">
            <w:pPr>
              <w:jc w:val="center"/>
            </w:pPr>
            <w:r>
              <w:t>Partner</w:t>
            </w:r>
          </w:p>
        </w:tc>
      </w:tr>
      <w:tr w:rsidR="0024043E" w:rsidRPr="004F7546" w:rsidTr="00E10AC4">
        <w:tc>
          <w:tcPr>
            <w:tcW w:w="1786" w:type="dxa"/>
          </w:tcPr>
          <w:p w:rsidR="0024043E" w:rsidRDefault="0024043E" w:rsidP="006509AE">
            <w:pPr>
              <w:jc w:val="center"/>
            </w:pPr>
            <w:r>
              <w:lastRenderedPageBreak/>
              <w:t>Erasmus+ (KA3 – Lot2)</w:t>
            </w:r>
          </w:p>
        </w:tc>
        <w:tc>
          <w:tcPr>
            <w:tcW w:w="1543" w:type="dxa"/>
          </w:tcPr>
          <w:p w:rsidR="0024043E" w:rsidRDefault="0024043E" w:rsidP="006509AE">
            <w:pPr>
              <w:jc w:val="center"/>
            </w:pPr>
            <w:r>
              <w:t>EACEA</w:t>
            </w:r>
          </w:p>
        </w:tc>
        <w:tc>
          <w:tcPr>
            <w:tcW w:w="2271" w:type="dxa"/>
          </w:tcPr>
          <w:p w:rsidR="0024043E" w:rsidRPr="0056250C" w:rsidRDefault="0024043E" w:rsidP="0024043E">
            <w:pPr>
              <w:jc w:val="center"/>
              <w:rPr>
                <w:b/>
                <w:sz w:val="24"/>
                <w:szCs w:val="24"/>
                <w:lang w:val="en-GB"/>
              </w:rPr>
            </w:pPr>
            <w:r>
              <w:rPr>
                <w:b/>
                <w:sz w:val="24"/>
                <w:szCs w:val="24"/>
                <w:lang w:val="en-GB"/>
              </w:rPr>
              <w:t>A</w:t>
            </w:r>
            <w:r w:rsidRPr="0024043E">
              <w:rPr>
                <w:sz w:val="24"/>
                <w:szCs w:val="24"/>
                <w:lang w:val="en-GB"/>
              </w:rPr>
              <w:t xml:space="preserve">pprenticeship </w:t>
            </w:r>
            <w:r>
              <w:rPr>
                <w:b/>
                <w:sz w:val="24"/>
                <w:szCs w:val="24"/>
                <w:lang w:val="en-GB"/>
              </w:rPr>
              <w:t>C</w:t>
            </w:r>
            <w:r w:rsidRPr="0024043E">
              <w:rPr>
                <w:sz w:val="24"/>
                <w:szCs w:val="24"/>
                <w:lang w:val="en-GB"/>
              </w:rPr>
              <w:t>oaches for</w:t>
            </w:r>
            <w:r>
              <w:rPr>
                <w:b/>
                <w:sz w:val="24"/>
                <w:szCs w:val="24"/>
                <w:lang w:val="en-GB"/>
              </w:rPr>
              <w:t xml:space="preserve"> SME</w:t>
            </w:r>
            <w:r w:rsidRPr="0024043E">
              <w:rPr>
                <w:sz w:val="24"/>
                <w:szCs w:val="24"/>
                <w:lang w:val="en-GB"/>
              </w:rPr>
              <w:t>s</w:t>
            </w:r>
            <w:r>
              <w:rPr>
                <w:b/>
                <w:sz w:val="24"/>
                <w:szCs w:val="24"/>
                <w:lang w:val="en-GB"/>
              </w:rPr>
              <w:t xml:space="preserve"> </w:t>
            </w:r>
            <w:r w:rsidRPr="0024043E">
              <w:rPr>
                <w:sz w:val="24"/>
                <w:szCs w:val="24"/>
                <w:lang w:val="en-GB"/>
              </w:rPr>
              <w:t>-</w:t>
            </w:r>
            <w:r>
              <w:rPr>
                <w:b/>
                <w:sz w:val="24"/>
                <w:szCs w:val="24"/>
                <w:lang w:val="en-GB"/>
              </w:rPr>
              <w:t>AC4SME</w:t>
            </w:r>
          </w:p>
        </w:tc>
        <w:tc>
          <w:tcPr>
            <w:tcW w:w="3387" w:type="dxa"/>
          </w:tcPr>
          <w:p w:rsidR="0024043E" w:rsidRDefault="00B12114" w:rsidP="00E10AC4">
            <w:pPr>
              <w:jc w:val="center"/>
              <w:rPr>
                <w:rFonts w:ascii="Tahoma" w:hAnsi="Tahoma" w:cs="Tahoma"/>
                <w:color w:val="000000" w:themeColor="text1"/>
                <w:spacing w:val="-3"/>
                <w:sz w:val="20"/>
                <w:lang w:val="en-GB"/>
              </w:rPr>
            </w:pPr>
            <w:r>
              <w:rPr>
                <w:rFonts w:ascii="Tahoma" w:hAnsi="Tahoma" w:cs="Tahoma"/>
                <w:color w:val="000000" w:themeColor="text1"/>
                <w:spacing w:val="-3"/>
                <w:sz w:val="20"/>
                <w:lang w:val="en-GB"/>
              </w:rPr>
              <w:t>SMEs are less likely to take on apprentices than larger companies, whereas they represent two-thirds of private sector employment in Europe. The aim of the AC4SME project is to involve a growing number of SMEs in apprenticeship, by developing and training a network of SME apprenticeship coaches in Chambers of Commerce, as well as providing them with necessary tools to support SMEs in offering quality apprenticeship placements.</w:t>
            </w:r>
          </w:p>
        </w:tc>
        <w:tc>
          <w:tcPr>
            <w:tcW w:w="1346" w:type="dxa"/>
          </w:tcPr>
          <w:p w:rsidR="0024043E" w:rsidRDefault="00B12114" w:rsidP="006509AE">
            <w:pPr>
              <w:jc w:val="center"/>
              <w:rPr>
                <w:lang w:val="en-GB"/>
              </w:rPr>
            </w:pPr>
            <w:r>
              <w:rPr>
                <w:lang w:val="en-GB"/>
              </w:rPr>
              <w:t>July 2016 – July 2018</w:t>
            </w:r>
          </w:p>
        </w:tc>
        <w:tc>
          <w:tcPr>
            <w:tcW w:w="1225" w:type="dxa"/>
          </w:tcPr>
          <w:p w:rsidR="0024043E" w:rsidRDefault="00B12114" w:rsidP="006509AE">
            <w:pPr>
              <w:jc w:val="center"/>
            </w:pPr>
            <w:r>
              <w:t>56,490</w:t>
            </w:r>
          </w:p>
        </w:tc>
        <w:tc>
          <w:tcPr>
            <w:tcW w:w="1618" w:type="dxa"/>
          </w:tcPr>
          <w:p w:rsidR="0024043E" w:rsidRDefault="00B12114" w:rsidP="006509AE">
            <w:pPr>
              <w:jc w:val="center"/>
            </w:pPr>
            <w:r>
              <w:t>Partner</w:t>
            </w:r>
          </w:p>
        </w:tc>
      </w:tr>
      <w:tr w:rsidR="00E10AC4" w:rsidRPr="004F7546" w:rsidTr="002774A3">
        <w:trPr>
          <w:trHeight w:val="2739"/>
        </w:trPr>
        <w:tc>
          <w:tcPr>
            <w:tcW w:w="1786" w:type="dxa"/>
          </w:tcPr>
          <w:p w:rsidR="007507EF" w:rsidRDefault="000E7F10" w:rsidP="006509AE">
            <w:pPr>
              <w:jc w:val="center"/>
            </w:pPr>
            <w:r>
              <w:t>JUST/2014</w:t>
            </w:r>
          </w:p>
        </w:tc>
        <w:tc>
          <w:tcPr>
            <w:tcW w:w="1543" w:type="dxa"/>
          </w:tcPr>
          <w:p w:rsidR="007507EF" w:rsidRDefault="007507EF" w:rsidP="006509AE">
            <w:pPr>
              <w:jc w:val="center"/>
            </w:pPr>
            <w:r>
              <w:t>DG Justice</w:t>
            </w:r>
          </w:p>
        </w:tc>
        <w:tc>
          <w:tcPr>
            <w:tcW w:w="2271" w:type="dxa"/>
          </w:tcPr>
          <w:p w:rsidR="007507EF" w:rsidRPr="00E10AC4" w:rsidRDefault="007507EF" w:rsidP="00E10AC4">
            <w:pPr>
              <w:jc w:val="center"/>
              <w:rPr>
                <w:sz w:val="24"/>
                <w:szCs w:val="24"/>
                <w:lang w:val="en-GB"/>
              </w:rPr>
            </w:pPr>
            <w:proofErr w:type="spellStart"/>
            <w:r w:rsidRPr="0056250C">
              <w:rPr>
                <w:b/>
                <w:sz w:val="24"/>
                <w:szCs w:val="24"/>
                <w:lang w:val="en-GB"/>
              </w:rPr>
              <w:t>PRE</w:t>
            </w:r>
            <w:r w:rsidRPr="00E10AC4">
              <w:rPr>
                <w:sz w:val="24"/>
                <w:szCs w:val="24"/>
                <w:lang w:val="en-GB"/>
              </w:rPr>
              <w:t>venting</w:t>
            </w:r>
            <w:proofErr w:type="spellEnd"/>
            <w:r w:rsidRPr="00E10AC4">
              <w:rPr>
                <w:sz w:val="24"/>
                <w:szCs w:val="24"/>
                <w:lang w:val="en-GB"/>
              </w:rPr>
              <w:t xml:space="preserve"> business failure and </w:t>
            </w:r>
            <w:proofErr w:type="spellStart"/>
            <w:r w:rsidRPr="00E10AC4">
              <w:rPr>
                <w:sz w:val="24"/>
                <w:szCs w:val="24"/>
                <w:lang w:val="en-GB"/>
              </w:rPr>
              <w:t>in</w:t>
            </w:r>
            <w:r w:rsidR="00E10AC4" w:rsidRPr="0056250C">
              <w:rPr>
                <w:b/>
                <w:sz w:val="24"/>
                <w:szCs w:val="24"/>
                <w:lang w:val="en-GB"/>
              </w:rPr>
              <w:t>SOLVE</w:t>
            </w:r>
            <w:r w:rsidRPr="00E10AC4">
              <w:rPr>
                <w:sz w:val="24"/>
                <w:szCs w:val="24"/>
                <w:lang w:val="en-GB"/>
              </w:rPr>
              <w:t>ncy</w:t>
            </w:r>
            <w:proofErr w:type="spellEnd"/>
            <w:r w:rsidRPr="00E10AC4">
              <w:rPr>
                <w:sz w:val="24"/>
                <w:szCs w:val="24"/>
                <w:lang w:val="en-GB"/>
              </w:rPr>
              <w:t xml:space="preserve"> – </w:t>
            </w:r>
            <w:r w:rsidRPr="00E10AC4">
              <w:rPr>
                <w:b/>
                <w:sz w:val="24"/>
                <w:szCs w:val="24"/>
                <w:lang w:val="en-GB"/>
              </w:rPr>
              <w:t>PRESOLVE</w:t>
            </w:r>
          </w:p>
        </w:tc>
        <w:tc>
          <w:tcPr>
            <w:tcW w:w="3387" w:type="dxa"/>
          </w:tcPr>
          <w:p w:rsidR="007507EF" w:rsidRDefault="000E7F10" w:rsidP="00E10AC4">
            <w:pPr>
              <w:jc w:val="center"/>
              <w:rPr>
                <w:rFonts w:ascii="Tahoma" w:hAnsi="Tahoma" w:cs="Tahoma"/>
                <w:color w:val="000000" w:themeColor="text1"/>
                <w:spacing w:val="-3"/>
                <w:sz w:val="20"/>
                <w:lang w:val="en-GB"/>
              </w:rPr>
            </w:pPr>
            <w:r>
              <w:rPr>
                <w:rFonts w:ascii="Tahoma" w:hAnsi="Tahoma" w:cs="Tahoma"/>
                <w:color w:val="000000" w:themeColor="text1"/>
                <w:spacing w:val="-3"/>
                <w:sz w:val="20"/>
                <w:lang w:val="en-GB"/>
              </w:rPr>
              <w:t>The objective of PRESOLVE is to provide business intermediaries with tools to support natural or legal persons in difficulties with their business activities</w:t>
            </w:r>
            <w:r w:rsidR="00E10AC4">
              <w:rPr>
                <w:rFonts w:ascii="Tahoma" w:hAnsi="Tahoma" w:cs="Tahoma"/>
                <w:color w:val="000000" w:themeColor="text1"/>
                <w:spacing w:val="-3"/>
                <w:sz w:val="20"/>
                <w:lang w:val="en-GB"/>
              </w:rPr>
              <w:t>,</w:t>
            </w:r>
            <w:r>
              <w:rPr>
                <w:rFonts w:ascii="Tahoma" w:hAnsi="Tahoma" w:cs="Tahoma"/>
                <w:color w:val="000000" w:themeColor="text1"/>
                <w:spacing w:val="-3"/>
                <w:sz w:val="20"/>
                <w:lang w:val="en-GB"/>
              </w:rPr>
              <w:t xml:space="preserve"> where there is a likelihood of insolvency, where insolvency proceedings are pending, or after insolvency proceedings (second chance).</w:t>
            </w:r>
          </w:p>
        </w:tc>
        <w:tc>
          <w:tcPr>
            <w:tcW w:w="1346" w:type="dxa"/>
          </w:tcPr>
          <w:p w:rsidR="007507EF" w:rsidRDefault="007507EF" w:rsidP="006509AE">
            <w:pPr>
              <w:jc w:val="center"/>
              <w:rPr>
                <w:lang w:val="en-GB"/>
              </w:rPr>
            </w:pPr>
            <w:r>
              <w:rPr>
                <w:lang w:val="en-GB"/>
              </w:rPr>
              <w:t>15/2/16 – 14/2/18</w:t>
            </w:r>
          </w:p>
        </w:tc>
        <w:tc>
          <w:tcPr>
            <w:tcW w:w="1225" w:type="dxa"/>
          </w:tcPr>
          <w:p w:rsidR="007507EF" w:rsidRDefault="000E7F10" w:rsidP="006509AE">
            <w:pPr>
              <w:jc w:val="center"/>
            </w:pPr>
            <w:r>
              <w:t>45,515</w:t>
            </w:r>
          </w:p>
        </w:tc>
        <w:tc>
          <w:tcPr>
            <w:tcW w:w="1618" w:type="dxa"/>
          </w:tcPr>
          <w:p w:rsidR="007507EF" w:rsidRDefault="007507EF" w:rsidP="006509AE">
            <w:pPr>
              <w:jc w:val="center"/>
            </w:pPr>
            <w:r>
              <w:t>Partner</w:t>
            </w:r>
          </w:p>
        </w:tc>
      </w:tr>
      <w:tr w:rsidR="00570FFE" w:rsidRPr="004F7546" w:rsidTr="00E10AC4">
        <w:tc>
          <w:tcPr>
            <w:tcW w:w="1786" w:type="dxa"/>
          </w:tcPr>
          <w:p w:rsidR="00570FFE" w:rsidRDefault="0056250C" w:rsidP="006509AE">
            <w:pPr>
              <w:jc w:val="center"/>
            </w:pPr>
            <w:r>
              <w:t>Erasmus for Young Entrepreneurs</w:t>
            </w:r>
          </w:p>
        </w:tc>
        <w:tc>
          <w:tcPr>
            <w:tcW w:w="1543" w:type="dxa"/>
          </w:tcPr>
          <w:p w:rsidR="00570FFE" w:rsidRDefault="0056250C" w:rsidP="006509AE">
            <w:pPr>
              <w:jc w:val="center"/>
            </w:pPr>
            <w:r>
              <w:t>EASME</w:t>
            </w:r>
          </w:p>
        </w:tc>
        <w:tc>
          <w:tcPr>
            <w:tcW w:w="2271" w:type="dxa"/>
          </w:tcPr>
          <w:p w:rsidR="00570FFE" w:rsidRDefault="0056250C" w:rsidP="00E10AC4">
            <w:pPr>
              <w:jc w:val="center"/>
              <w:rPr>
                <w:sz w:val="24"/>
                <w:szCs w:val="24"/>
                <w:lang w:val="en-GB"/>
              </w:rPr>
            </w:pPr>
            <w:r>
              <w:rPr>
                <w:b/>
                <w:sz w:val="24"/>
                <w:szCs w:val="24"/>
                <w:lang w:val="en-GB"/>
              </w:rPr>
              <w:t>G</w:t>
            </w:r>
            <w:r>
              <w:rPr>
                <w:sz w:val="24"/>
                <w:szCs w:val="24"/>
                <w:lang w:val="en-GB"/>
              </w:rPr>
              <w:t xml:space="preserve">rowing </w:t>
            </w:r>
            <w:r>
              <w:rPr>
                <w:b/>
                <w:sz w:val="24"/>
                <w:szCs w:val="24"/>
                <w:lang w:val="en-GB"/>
              </w:rPr>
              <w:t>E</w:t>
            </w:r>
            <w:r>
              <w:rPr>
                <w:sz w:val="24"/>
                <w:szCs w:val="24"/>
                <w:lang w:val="en-GB"/>
              </w:rPr>
              <w:t xml:space="preserve">ntrepreneurship </w:t>
            </w:r>
            <w:r>
              <w:rPr>
                <w:b/>
                <w:sz w:val="24"/>
                <w:szCs w:val="24"/>
                <w:lang w:val="en-GB"/>
              </w:rPr>
              <w:t>A</w:t>
            </w:r>
            <w:r>
              <w:rPr>
                <w:sz w:val="24"/>
                <w:szCs w:val="24"/>
                <w:lang w:val="en-GB"/>
              </w:rPr>
              <w:t xml:space="preserve">cross </w:t>
            </w:r>
            <w:r>
              <w:rPr>
                <w:b/>
                <w:sz w:val="24"/>
                <w:szCs w:val="24"/>
                <w:lang w:val="en-GB"/>
              </w:rPr>
              <w:t>R</w:t>
            </w:r>
            <w:r>
              <w:rPr>
                <w:sz w:val="24"/>
                <w:szCs w:val="24"/>
                <w:lang w:val="en-GB"/>
              </w:rPr>
              <w:t>egions -</w:t>
            </w:r>
          </w:p>
          <w:p w:rsidR="0056250C" w:rsidRPr="0056250C" w:rsidRDefault="0056250C" w:rsidP="00E10AC4">
            <w:pPr>
              <w:jc w:val="center"/>
              <w:rPr>
                <w:b/>
                <w:sz w:val="24"/>
                <w:szCs w:val="24"/>
                <w:lang w:val="en-GB"/>
              </w:rPr>
            </w:pPr>
            <w:r>
              <w:rPr>
                <w:b/>
                <w:sz w:val="24"/>
                <w:szCs w:val="24"/>
                <w:lang w:val="en-GB"/>
              </w:rPr>
              <w:t>GEAR</w:t>
            </w:r>
          </w:p>
        </w:tc>
        <w:tc>
          <w:tcPr>
            <w:tcW w:w="3387" w:type="dxa"/>
          </w:tcPr>
          <w:p w:rsidR="00570FFE" w:rsidRDefault="0056250C" w:rsidP="0056250C">
            <w:pPr>
              <w:jc w:val="center"/>
              <w:rPr>
                <w:rFonts w:ascii="Tahoma" w:hAnsi="Tahoma" w:cs="Tahoma"/>
                <w:color w:val="000000" w:themeColor="text1"/>
                <w:spacing w:val="-3"/>
                <w:sz w:val="20"/>
                <w:lang w:val="en-GB"/>
              </w:rPr>
            </w:pPr>
            <w:r>
              <w:rPr>
                <w:rFonts w:ascii="Tahoma" w:hAnsi="Tahoma" w:cs="Tahoma"/>
                <w:color w:val="000000" w:themeColor="text1"/>
                <w:spacing w:val="-3"/>
                <w:sz w:val="20"/>
                <w:lang w:val="en-GB"/>
              </w:rPr>
              <w:t xml:space="preserve">The aim of this project is to assist in the alleviation of EU unemployment by supporting the creation and growth of new start-up businesses, which will consequently lead to the creation of new jobs. This will be </w:t>
            </w:r>
            <w:r>
              <w:rPr>
                <w:rFonts w:ascii="Tahoma" w:hAnsi="Tahoma" w:cs="Tahoma"/>
                <w:color w:val="000000" w:themeColor="text1"/>
                <w:spacing w:val="-3"/>
                <w:sz w:val="20"/>
                <w:lang w:val="en-GB"/>
              </w:rPr>
              <w:lastRenderedPageBreak/>
              <w:t xml:space="preserve">achieved by matching 77 New Entrepreneurs with 77 experienced Host entrepreneurs. </w:t>
            </w:r>
          </w:p>
        </w:tc>
        <w:tc>
          <w:tcPr>
            <w:tcW w:w="1346" w:type="dxa"/>
          </w:tcPr>
          <w:p w:rsidR="00570FFE" w:rsidRDefault="0056250C" w:rsidP="006509AE">
            <w:pPr>
              <w:jc w:val="center"/>
              <w:rPr>
                <w:lang w:val="en-GB"/>
              </w:rPr>
            </w:pPr>
            <w:r>
              <w:rPr>
                <w:lang w:val="en-GB"/>
              </w:rPr>
              <w:lastRenderedPageBreak/>
              <w:t>1/2/16 – 31/1/18</w:t>
            </w:r>
          </w:p>
        </w:tc>
        <w:tc>
          <w:tcPr>
            <w:tcW w:w="1225" w:type="dxa"/>
          </w:tcPr>
          <w:p w:rsidR="00570FFE" w:rsidRDefault="00545840" w:rsidP="006509AE">
            <w:pPr>
              <w:jc w:val="center"/>
            </w:pPr>
            <w:r>
              <w:t>56,482</w:t>
            </w:r>
          </w:p>
        </w:tc>
        <w:tc>
          <w:tcPr>
            <w:tcW w:w="1618" w:type="dxa"/>
          </w:tcPr>
          <w:p w:rsidR="00570FFE" w:rsidRDefault="00545840" w:rsidP="006509AE">
            <w:pPr>
              <w:jc w:val="center"/>
            </w:pPr>
            <w:r>
              <w:t>Partner</w:t>
            </w:r>
          </w:p>
        </w:tc>
      </w:tr>
      <w:tr w:rsidR="00E10AC4" w:rsidRPr="004F7546" w:rsidTr="00E10AC4">
        <w:tc>
          <w:tcPr>
            <w:tcW w:w="1786" w:type="dxa"/>
          </w:tcPr>
          <w:p w:rsidR="0074317B" w:rsidRPr="00A35D06" w:rsidRDefault="0074317B" w:rsidP="006509AE">
            <w:pPr>
              <w:jc w:val="center"/>
            </w:pPr>
            <w:r>
              <w:lastRenderedPageBreak/>
              <w:t xml:space="preserve">ERASMUS + </w:t>
            </w:r>
          </w:p>
        </w:tc>
        <w:tc>
          <w:tcPr>
            <w:tcW w:w="1543" w:type="dxa"/>
          </w:tcPr>
          <w:p w:rsidR="0074317B" w:rsidRDefault="0074317B" w:rsidP="006509AE">
            <w:pPr>
              <w:jc w:val="center"/>
            </w:pPr>
            <w:r>
              <w:t>EACEA</w:t>
            </w:r>
          </w:p>
        </w:tc>
        <w:tc>
          <w:tcPr>
            <w:tcW w:w="2271" w:type="dxa"/>
          </w:tcPr>
          <w:p w:rsidR="00E10AC4" w:rsidRDefault="0074317B" w:rsidP="00E10AC4">
            <w:pPr>
              <w:jc w:val="center"/>
              <w:rPr>
                <w:sz w:val="24"/>
                <w:szCs w:val="24"/>
                <w:lang w:val="en-GB"/>
              </w:rPr>
            </w:pPr>
            <w:r w:rsidRPr="00E10AC4">
              <w:rPr>
                <w:sz w:val="24"/>
                <w:szCs w:val="24"/>
                <w:lang w:val="en-GB"/>
              </w:rPr>
              <w:t>Validation of Formal, non-formal and informal learning: the case of Personal Assistan</w:t>
            </w:r>
            <w:r w:rsidR="00E10AC4">
              <w:rPr>
                <w:sz w:val="24"/>
                <w:szCs w:val="24"/>
                <w:lang w:val="en-GB"/>
              </w:rPr>
              <w:t>ts</w:t>
            </w:r>
          </w:p>
          <w:p w:rsidR="0074317B" w:rsidRPr="00E10AC4" w:rsidRDefault="0074317B" w:rsidP="00E10AC4">
            <w:pPr>
              <w:jc w:val="center"/>
              <w:rPr>
                <w:b/>
                <w:sz w:val="24"/>
                <w:szCs w:val="24"/>
                <w:lang w:val="en-GB"/>
              </w:rPr>
            </w:pPr>
            <w:r w:rsidRPr="00E10AC4">
              <w:rPr>
                <w:b/>
                <w:sz w:val="24"/>
                <w:szCs w:val="24"/>
                <w:lang w:val="en-GB"/>
              </w:rPr>
              <w:t>EUPA-NEXT</w:t>
            </w:r>
          </w:p>
        </w:tc>
        <w:tc>
          <w:tcPr>
            <w:tcW w:w="3387" w:type="dxa"/>
          </w:tcPr>
          <w:p w:rsidR="0074317B" w:rsidRPr="00812477" w:rsidRDefault="0074317B" w:rsidP="00E10AC4">
            <w:pPr>
              <w:jc w:val="center"/>
              <w:rPr>
                <w:rFonts w:ascii="Tahoma" w:hAnsi="Tahoma" w:cs="Tahoma"/>
                <w:color w:val="000000" w:themeColor="text1"/>
                <w:spacing w:val="-3"/>
                <w:sz w:val="20"/>
                <w:lang w:val="en-GB"/>
              </w:rPr>
            </w:pPr>
            <w:r>
              <w:rPr>
                <w:rFonts w:ascii="Tahoma" w:hAnsi="Tahoma" w:cs="Tahoma"/>
                <w:color w:val="000000" w:themeColor="text1"/>
                <w:spacing w:val="-3"/>
                <w:sz w:val="20"/>
                <w:lang w:val="en-GB"/>
              </w:rPr>
              <w:t xml:space="preserve">The project has two main objectives: At the sector </w:t>
            </w:r>
            <w:r w:rsidR="00E10AC4">
              <w:rPr>
                <w:rFonts w:ascii="Tahoma" w:hAnsi="Tahoma" w:cs="Tahoma"/>
                <w:color w:val="000000" w:themeColor="text1"/>
                <w:spacing w:val="-3"/>
                <w:sz w:val="20"/>
                <w:lang w:val="en-GB"/>
              </w:rPr>
              <w:t>l</w:t>
            </w:r>
            <w:r>
              <w:rPr>
                <w:rFonts w:ascii="Tahoma" w:hAnsi="Tahoma" w:cs="Tahoma"/>
                <w:color w:val="000000" w:themeColor="text1"/>
                <w:spacing w:val="-3"/>
                <w:sz w:val="20"/>
                <w:lang w:val="en-GB"/>
              </w:rPr>
              <w:t>evel the project aims to develop a European/ International qualifications</w:t>
            </w:r>
            <w:r w:rsidR="00E10AC4">
              <w:rPr>
                <w:rFonts w:ascii="Tahoma" w:hAnsi="Tahoma" w:cs="Tahoma"/>
                <w:color w:val="000000" w:themeColor="text1"/>
                <w:spacing w:val="-3"/>
                <w:sz w:val="20"/>
                <w:lang w:val="en-GB"/>
              </w:rPr>
              <w:t xml:space="preserve"> system</w:t>
            </w:r>
            <w:r>
              <w:rPr>
                <w:rFonts w:ascii="Tahoma" w:hAnsi="Tahoma" w:cs="Tahoma"/>
                <w:color w:val="000000" w:themeColor="text1"/>
                <w:spacing w:val="-3"/>
                <w:sz w:val="20"/>
                <w:lang w:val="en-GB"/>
              </w:rPr>
              <w:t xml:space="preserve"> for administration personnel in four EQF levels; At the policy level the project aims to identify the situation of the countries as far as ECVET is concerned and to develop national as well as comparative report</w:t>
            </w:r>
            <w:r w:rsidR="00E10AC4">
              <w:rPr>
                <w:rFonts w:ascii="Tahoma" w:hAnsi="Tahoma" w:cs="Tahoma"/>
                <w:color w:val="000000" w:themeColor="text1"/>
                <w:spacing w:val="-3"/>
                <w:sz w:val="20"/>
                <w:lang w:val="en-GB"/>
              </w:rPr>
              <w:t>s</w:t>
            </w:r>
            <w:r>
              <w:rPr>
                <w:rFonts w:ascii="Tahoma" w:hAnsi="Tahoma" w:cs="Tahoma"/>
                <w:color w:val="000000" w:themeColor="text1"/>
                <w:spacing w:val="-3"/>
                <w:sz w:val="20"/>
                <w:lang w:val="en-GB"/>
              </w:rPr>
              <w:t>.</w:t>
            </w:r>
          </w:p>
        </w:tc>
        <w:tc>
          <w:tcPr>
            <w:tcW w:w="1346" w:type="dxa"/>
          </w:tcPr>
          <w:p w:rsidR="0074317B" w:rsidRPr="00C576B8" w:rsidRDefault="0074317B" w:rsidP="006509AE">
            <w:pPr>
              <w:jc w:val="center"/>
              <w:rPr>
                <w:lang w:val="en-GB"/>
              </w:rPr>
            </w:pPr>
            <w:r>
              <w:rPr>
                <w:lang w:val="en-GB"/>
              </w:rPr>
              <w:t>9/2015 -8/2018</w:t>
            </w:r>
          </w:p>
        </w:tc>
        <w:tc>
          <w:tcPr>
            <w:tcW w:w="1225" w:type="dxa"/>
          </w:tcPr>
          <w:p w:rsidR="0074317B" w:rsidRDefault="0074317B" w:rsidP="006509AE">
            <w:pPr>
              <w:jc w:val="center"/>
            </w:pPr>
            <w:r>
              <w:t>24,000</w:t>
            </w:r>
          </w:p>
        </w:tc>
        <w:tc>
          <w:tcPr>
            <w:tcW w:w="1618" w:type="dxa"/>
          </w:tcPr>
          <w:p w:rsidR="0074317B" w:rsidRDefault="0074317B" w:rsidP="006509AE">
            <w:pPr>
              <w:jc w:val="center"/>
            </w:pPr>
            <w:r>
              <w:t>Partner</w:t>
            </w:r>
          </w:p>
        </w:tc>
      </w:tr>
      <w:tr w:rsidR="00E10AC4" w:rsidRPr="004F7546" w:rsidTr="00E10AC4">
        <w:tc>
          <w:tcPr>
            <w:tcW w:w="1786" w:type="dxa"/>
          </w:tcPr>
          <w:p w:rsidR="0074317B" w:rsidRDefault="0074317B" w:rsidP="00CA7C23">
            <w:pPr>
              <w:jc w:val="center"/>
            </w:pPr>
            <w:r>
              <w:t>ERASMUS+, Sector Skills Alliance</w:t>
            </w:r>
          </w:p>
        </w:tc>
        <w:tc>
          <w:tcPr>
            <w:tcW w:w="1543" w:type="dxa"/>
          </w:tcPr>
          <w:p w:rsidR="0074317B" w:rsidRDefault="0074317B" w:rsidP="00F5407D">
            <w:pPr>
              <w:jc w:val="center"/>
            </w:pPr>
            <w:r>
              <w:t>EACEA</w:t>
            </w:r>
          </w:p>
        </w:tc>
        <w:tc>
          <w:tcPr>
            <w:tcW w:w="2271" w:type="dxa"/>
          </w:tcPr>
          <w:p w:rsidR="0074317B" w:rsidRPr="00E10AC4" w:rsidRDefault="0074317B" w:rsidP="000F1033">
            <w:pPr>
              <w:jc w:val="center"/>
              <w:rPr>
                <w:b/>
                <w:sz w:val="24"/>
              </w:rPr>
            </w:pPr>
            <w:proofErr w:type="spellStart"/>
            <w:r w:rsidRPr="00E10AC4">
              <w:rPr>
                <w:b/>
                <w:sz w:val="24"/>
              </w:rPr>
              <w:t>EWasteR</w:t>
            </w:r>
            <w:proofErr w:type="spellEnd"/>
          </w:p>
        </w:tc>
        <w:tc>
          <w:tcPr>
            <w:tcW w:w="3387" w:type="dxa"/>
          </w:tcPr>
          <w:p w:rsidR="0074317B" w:rsidRDefault="0074317B" w:rsidP="00D204A5">
            <w:pPr>
              <w:jc w:val="center"/>
            </w:pPr>
            <w:r>
              <w:t>The general goal of the EWASTER project is to develop and establish a new quality interdisciplinary curriculum in E-Waste Recycling and Re-use management sector in Europe. Aiming to contribute to sustainable production and consumption by the prevention of WEEE and the re-use, recycling and other forms of recovery; to adapt curriculum contents, vocational training, delivery methods and assessment to the intended learning outcomes, encourage sense of initiative and entrepreneurship  (business start-up)</w:t>
            </w:r>
          </w:p>
        </w:tc>
        <w:tc>
          <w:tcPr>
            <w:tcW w:w="1346" w:type="dxa"/>
          </w:tcPr>
          <w:p w:rsidR="0074317B" w:rsidRDefault="0074317B" w:rsidP="00F44010">
            <w:pPr>
              <w:jc w:val="center"/>
            </w:pPr>
            <w:r>
              <w:t>1/2015-1/2017</w:t>
            </w:r>
          </w:p>
        </w:tc>
        <w:tc>
          <w:tcPr>
            <w:tcW w:w="1225" w:type="dxa"/>
          </w:tcPr>
          <w:p w:rsidR="0074317B" w:rsidRDefault="0074317B" w:rsidP="00D7357B">
            <w:pPr>
              <w:jc w:val="center"/>
            </w:pPr>
            <w:r>
              <w:t>38,176.00</w:t>
            </w:r>
          </w:p>
        </w:tc>
        <w:tc>
          <w:tcPr>
            <w:tcW w:w="1618" w:type="dxa"/>
          </w:tcPr>
          <w:p w:rsidR="0074317B" w:rsidRDefault="0074317B" w:rsidP="00D7357B">
            <w:pPr>
              <w:jc w:val="center"/>
            </w:pPr>
            <w:r>
              <w:t>Partner</w:t>
            </w:r>
          </w:p>
        </w:tc>
      </w:tr>
      <w:tr w:rsidR="00316334" w:rsidRPr="00316334" w:rsidTr="00E10AC4">
        <w:tc>
          <w:tcPr>
            <w:tcW w:w="1786" w:type="dxa"/>
          </w:tcPr>
          <w:p w:rsidR="0074317B" w:rsidRPr="00316334" w:rsidRDefault="0074317B" w:rsidP="00F34949">
            <w:pPr>
              <w:jc w:val="center"/>
              <w:rPr>
                <w:color w:val="FF0000"/>
              </w:rPr>
            </w:pPr>
            <w:r w:rsidRPr="00316334">
              <w:rPr>
                <w:color w:val="FF0000"/>
              </w:rPr>
              <w:t xml:space="preserve">PROGRESS </w:t>
            </w:r>
          </w:p>
        </w:tc>
        <w:tc>
          <w:tcPr>
            <w:tcW w:w="1543" w:type="dxa"/>
          </w:tcPr>
          <w:p w:rsidR="0074317B" w:rsidRPr="00316334" w:rsidRDefault="0074317B" w:rsidP="00F5407D">
            <w:pPr>
              <w:jc w:val="center"/>
              <w:rPr>
                <w:color w:val="FF0000"/>
              </w:rPr>
            </w:pPr>
            <w:r w:rsidRPr="00316334">
              <w:rPr>
                <w:color w:val="FF0000"/>
              </w:rPr>
              <w:t xml:space="preserve">Employment, Social Affairs and Equal </w:t>
            </w:r>
            <w:r w:rsidRPr="00316334">
              <w:rPr>
                <w:color w:val="FF0000"/>
              </w:rPr>
              <w:lastRenderedPageBreak/>
              <w:t xml:space="preserve">Opportunities DG </w:t>
            </w:r>
          </w:p>
        </w:tc>
        <w:tc>
          <w:tcPr>
            <w:tcW w:w="2271" w:type="dxa"/>
          </w:tcPr>
          <w:p w:rsidR="0074317B" w:rsidRPr="00316334" w:rsidRDefault="0074317B" w:rsidP="000F1033">
            <w:pPr>
              <w:jc w:val="center"/>
              <w:rPr>
                <w:color w:val="FF0000"/>
              </w:rPr>
            </w:pPr>
            <w:r w:rsidRPr="00316334">
              <w:rPr>
                <w:color w:val="FF0000"/>
              </w:rPr>
              <w:lastRenderedPageBreak/>
              <w:t xml:space="preserve">Recovery of Organic Waste - </w:t>
            </w:r>
            <w:r w:rsidRPr="00316334">
              <w:rPr>
                <w:b/>
                <w:color w:val="FF0000"/>
              </w:rPr>
              <w:t>VALORG</w:t>
            </w:r>
          </w:p>
        </w:tc>
        <w:tc>
          <w:tcPr>
            <w:tcW w:w="3387" w:type="dxa"/>
          </w:tcPr>
          <w:p w:rsidR="0074317B" w:rsidRPr="00316334" w:rsidRDefault="0074317B" w:rsidP="00D7357B">
            <w:pPr>
              <w:jc w:val="center"/>
              <w:rPr>
                <w:color w:val="FF0000"/>
              </w:rPr>
            </w:pPr>
            <w:r w:rsidRPr="00316334">
              <w:rPr>
                <w:color w:val="FF0000"/>
              </w:rPr>
              <w:t xml:space="preserve">Explore resources and development opportunities within the circular economy in the </w:t>
            </w:r>
            <w:r w:rsidRPr="00316334">
              <w:rPr>
                <w:color w:val="FF0000"/>
              </w:rPr>
              <w:lastRenderedPageBreak/>
              <w:t>recycling of organic waste and crop residues. Link up the needs and employability of public and develop Model Programs of workplace training in the framework of the experimented activities of recovery of organic waste in circular economy</w:t>
            </w:r>
          </w:p>
        </w:tc>
        <w:tc>
          <w:tcPr>
            <w:tcW w:w="1346" w:type="dxa"/>
          </w:tcPr>
          <w:p w:rsidR="0074317B" w:rsidRPr="00316334" w:rsidRDefault="0074317B" w:rsidP="00F44010">
            <w:pPr>
              <w:jc w:val="center"/>
              <w:rPr>
                <w:color w:val="FF0000"/>
              </w:rPr>
            </w:pPr>
            <w:r w:rsidRPr="00316334">
              <w:rPr>
                <w:color w:val="FF0000"/>
              </w:rPr>
              <w:lastRenderedPageBreak/>
              <w:t>14/11/2014-13/5/2016</w:t>
            </w:r>
          </w:p>
        </w:tc>
        <w:tc>
          <w:tcPr>
            <w:tcW w:w="1225" w:type="dxa"/>
          </w:tcPr>
          <w:p w:rsidR="0074317B" w:rsidRPr="00316334" w:rsidRDefault="0074317B" w:rsidP="00D7357B">
            <w:pPr>
              <w:jc w:val="center"/>
              <w:rPr>
                <w:color w:val="FF0000"/>
              </w:rPr>
            </w:pPr>
            <w:r w:rsidRPr="00316334">
              <w:rPr>
                <w:color w:val="FF0000"/>
              </w:rPr>
              <w:t>26,772.90</w:t>
            </w:r>
          </w:p>
        </w:tc>
        <w:tc>
          <w:tcPr>
            <w:tcW w:w="1618" w:type="dxa"/>
          </w:tcPr>
          <w:p w:rsidR="0074317B" w:rsidRPr="00316334" w:rsidRDefault="0074317B" w:rsidP="00D7357B">
            <w:pPr>
              <w:jc w:val="center"/>
              <w:rPr>
                <w:color w:val="FF0000"/>
              </w:rPr>
            </w:pPr>
            <w:r w:rsidRPr="00316334">
              <w:rPr>
                <w:color w:val="FF0000"/>
              </w:rPr>
              <w:t>Partner</w:t>
            </w:r>
          </w:p>
        </w:tc>
      </w:tr>
      <w:tr w:rsidR="00E10AC4" w:rsidRPr="004F7546" w:rsidTr="00E10AC4">
        <w:tc>
          <w:tcPr>
            <w:tcW w:w="1786" w:type="dxa"/>
          </w:tcPr>
          <w:p w:rsidR="0074317B" w:rsidRDefault="0074317B" w:rsidP="00D7357B">
            <w:pPr>
              <w:jc w:val="center"/>
            </w:pPr>
            <w:r>
              <w:lastRenderedPageBreak/>
              <w:t>ERASMUS+, Key Action 3</w:t>
            </w:r>
          </w:p>
        </w:tc>
        <w:tc>
          <w:tcPr>
            <w:tcW w:w="1543" w:type="dxa"/>
          </w:tcPr>
          <w:p w:rsidR="0074317B" w:rsidRDefault="0074317B" w:rsidP="00F5407D">
            <w:pPr>
              <w:jc w:val="center"/>
            </w:pPr>
            <w:r>
              <w:t>EACEA/ 13/2014</w:t>
            </w:r>
          </w:p>
        </w:tc>
        <w:tc>
          <w:tcPr>
            <w:tcW w:w="2271" w:type="dxa"/>
          </w:tcPr>
          <w:p w:rsidR="0074317B" w:rsidRDefault="0074317B" w:rsidP="000F1033">
            <w:pPr>
              <w:jc w:val="center"/>
            </w:pPr>
            <w:r>
              <w:t xml:space="preserve">National Authorities for Apprenticeship: Companies as sustainable partners for apprenticeship in Greece and Cyprus/  </w:t>
            </w:r>
            <w:r w:rsidRPr="00E10AC4">
              <w:rPr>
                <w:b/>
                <w:sz w:val="24"/>
              </w:rPr>
              <w:t>NAAGRCY</w:t>
            </w:r>
          </w:p>
        </w:tc>
        <w:tc>
          <w:tcPr>
            <w:tcW w:w="3387" w:type="dxa"/>
          </w:tcPr>
          <w:p w:rsidR="0074317B" w:rsidRDefault="0074317B" w:rsidP="00D7357B">
            <w:pPr>
              <w:jc w:val="center"/>
            </w:pPr>
            <w:r>
              <w:t>The main scope of the project is to encourage the modernization of apprenticeship, embedded in Dual Vocational Education and Training (VET) systems in Greece and Cyprus. The proposed project will draw on best practices implemented in Germany, thus benefiting from the transfer of knowledge and experience.</w:t>
            </w:r>
          </w:p>
        </w:tc>
        <w:tc>
          <w:tcPr>
            <w:tcW w:w="1346" w:type="dxa"/>
          </w:tcPr>
          <w:p w:rsidR="0074317B" w:rsidRDefault="0074317B" w:rsidP="00F44010">
            <w:pPr>
              <w:jc w:val="center"/>
            </w:pPr>
            <w:r>
              <w:t>1/10/2014-30/09/2016</w:t>
            </w:r>
          </w:p>
        </w:tc>
        <w:tc>
          <w:tcPr>
            <w:tcW w:w="1225" w:type="dxa"/>
          </w:tcPr>
          <w:p w:rsidR="0074317B" w:rsidRDefault="0074317B" w:rsidP="00D7357B">
            <w:pPr>
              <w:jc w:val="center"/>
            </w:pPr>
            <w:r>
              <w:t>22,657.50</w:t>
            </w:r>
          </w:p>
        </w:tc>
        <w:tc>
          <w:tcPr>
            <w:tcW w:w="1618" w:type="dxa"/>
          </w:tcPr>
          <w:p w:rsidR="0074317B" w:rsidRDefault="0074317B" w:rsidP="00D7357B">
            <w:pPr>
              <w:jc w:val="center"/>
            </w:pPr>
            <w:r>
              <w:t>Partner</w:t>
            </w:r>
          </w:p>
        </w:tc>
      </w:tr>
      <w:tr w:rsidR="00316334" w:rsidRPr="00316334" w:rsidTr="00E10AC4">
        <w:tc>
          <w:tcPr>
            <w:tcW w:w="1786" w:type="dxa"/>
          </w:tcPr>
          <w:p w:rsidR="0074317B" w:rsidRPr="00316334" w:rsidRDefault="0074317B" w:rsidP="00D7357B">
            <w:pPr>
              <w:jc w:val="center"/>
              <w:rPr>
                <w:color w:val="FF0000"/>
              </w:rPr>
            </w:pPr>
            <w:r w:rsidRPr="00316334">
              <w:rPr>
                <w:color w:val="FF0000"/>
              </w:rPr>
              <w:t xml:space="preserve">Entrepreneurship and innovation </w:t>
            </w:r>
            <w:proofErr w:type="spellStart"/>
            <w:r w:rsidRPr="00316334">
              <w:rPr>
                <w:color w:val="FF0000"/>
              </w:rPr>
              <w:t>Programme</w:t>
            </w:r>
            <w:proofErr w:type="spellEnd"/>
            <w:r w:rsidRPr="00316334">
              <w:rPr>
                <w:color w:val="FF0000"/>
              </w:rPr>
              <w:t xml:space="preserve"> 2013</w:t>
            </w:r>
          </w:p>
        </w:tc>
        <w:tc>
          <w:tcPr>
            <w:tcW w:w="1543" w:type="dxa"/>
          </w:tcPr>
          <w:p w:rsidR="0074317B" w:rsidRPr="00316334" w:rsidRDefault="0074317B" w:rsidP="00F5407D">
            <w:pPr>
              <w:jc w:val="center"/>
              <w:rPr>
                <w:color w:val="FF0000"/>
              </w:rPr>
            </w:pPr>
            <w:r w:rsidRPr="00316334">
              <w:rPr>
                <w:color w:val="FF0000"/>
              </w:rPr>
              <w:t>Directorate E: Service industries/ E1 – Tourism Policy</w:t>
            </w:r>
          </w:p>
        </w:tc>
        <w:tc>
          <w:tcPr>
            <w:tcW w:w="2271" w:type="dxa"/>
          </w:tcPr>
          <w:p w:rsidR="00E10AC4" w:rsidRPr="00316334" w:rsidRDefault="0074317B" w:rsidP="00E10AC4">
            <w:pPr>
              <w:jc w:val="center"/>
              <w:rPr>
                <w:color w:val="FF0000"/>
              </w:rPr>
            </w:pPr>
            <w:r w:rsidRPr="00316334">
              <w:rPr>
                <w:color w:val="FF0000"/>
              </w:rPr>
              <w:t xml:space="preserve">‘European Senior Citizens’ Actions to Promote Exchange in Tourism </w:t>
            </w:r>
          </w:p>
          <w:p w:rsidR="0074317B" w:rsidRPr="00316334" w:rsidRDefault="0074317B" w:rsidP="00E10AC4">
            <w:pPr>
              <w:jc w:val="center"/>
              <w:rPr>
                <w:b/>
                <w:color w:val="FF0000"/>
              </w:rPr>
            </w:pPr>
            <w:r w:rsidRPr="00316334">
              <w:rPr>
                <w:b/>
                <w:color w:val="FF0000"/>
                <w:sz w:val="24"/>
              </w:rPr>
              <w:t>ESCAPE</w:t>
            </w:r>
          </w:p>
        </w:tc>
        <w:tc>
          <w:tcPr>
            <w:tcW w:w="3387" w:type="dxa"/>
          </w:tcPr>
          <w:p w:rsidR="0074317B" w:rsidRPr="00316334" w:rsidRDefault="0074317B" w:rsidP="00D7357B">
            <w:pPr>
              <w:jc w:val="center"/>
              <w:rPr>
                <w:color w:val="FF0000"/>
              </w:rPr>
            </w:pPr>
            <w:r w:rsidRPr="00316334">
              <w:rPr>
                <w:color w:val="FF0000"/>
              </w:rPr>
              <w:t>The project is based on transferable business model which will be ready to be replicated in other possibly interested countries, the project partners will propose innovative and sustainable transnational tourism packages for seniors in orders to increase tourism flows in Europe off-season, as well as carry out pilot tests to assess the effectiveness of these packages.</w:t>
            </w:r>
          </w:p>
        </w:tc>
        <w:tc>
          <w:tcPr>
            <w:tcW w:w="1346" w:type="dxa"/>
          </w:tcPr>
          <w:p w:rsidR="0074317B" w:rsidRPr="00316334" w:rsidRDefault="0074317B" w:rsidP="00F44010">
            <w:pPr>
              <w:jc w:val="center"/>
              <w:rPr>
                <w:color w:val="FF0000"/>
              </w:rPr>
            </w:pPr>
            <w:r w:rsidRPr="00316334">
              <w:rPr>
                <w:color w:val="FF0000"/>
              </w:rPr>
              <w:t>09/20014 – 02/2016</w:t>
            </w:r>
          </w:p>
        </w:tc>
        <w:tc>
          <w:tcPr>
            <w:tcW w:w="1225" w:type="dxa"/>
          </w:tcPr>
          <w:p w:rsidR="0074317B" w:rsidRPr="00316334" w:rsidRDefault="0074317B" w:rsidP="00D7357B">
            <w:pPr>
              <w:jc w:val="center"/>
              <w:rPr>
                <w:color w:val="FF0000"/>
              </w:rPr>
            </w:pPr>
            <w:r w:rsidRPr="00316334">
              <w:rPr>
                <w:color w:val="FF0000"/>
              </w:rPr>
              <w:t>127,447.62</w:t>
            </w:r>
          </w:p>
        </w:tc>
        <w:tc>
          <w:tcPr>
            <w:tcW w:w="1618" w:type="dxa"/>
          </w:tcPr>
          <w:p w:rsidR="0074317B" w:rsidRPr="00316334" w:rsidRDefault="0074317B" w:rsidP="00D7357B">
            <w:pPr>
              <w:jc w:val="center"/>
              <w:rPr>
                <w:color w:val="FF0000"/>
              </w:rPr>
            </w:pPr>
            <w:r w:rsidRPr="00316334">
              <w:rPr>
                <w:color w:val="FF0000"/>
              </w:rPr>
              <w:t>Lead partner</w:t>
            </w:r>
          </w:p>
        </w:tc>
      </w:tr>
      <w:tr w:rsidR="00E10AC4" w:rsidRPr="004F7546" w:rsidTr="00E10AC4">
        <w:tc>
          <w:tcPr>
            <w:tcW w:w="1786" w:type="dxa"/>
          </w:tcPr>
          <w:p w:rsidR="0074317B" w:rsidRDefault="0074317B" w:rsidP="00D7357B">
            <w:pPr>
              <w:jc w:val="center"/>
            </w:pPr>
            <w:r>
              <w:t xml:space="preserve">Cypriot Civil </w:t>
            </w:r>
            <w:r>
              <w:lastRenderedPageBreak/>
              <w:t xml:space="preserve">Society in Action IV </w:t>
            </w:r>
          </w:p>
        </w:tc>
        <w:tc>
          <w:tcPr>
            <w:tcW w:w="1543" w:type="dxa"/>
          </w:tcPr>
          <w:p w:rsidR="0074317B" w:rsidRDefault="0074317B" w:rsidP="003A07B1">
            <w:pPr>
              <w:jc w:val="center"/>
            </w:pPr>
            <w:proofErr w:type="spellStart"/>
            <w:r>
              <w:lastRenderedPageBreak/>
              <w:t>EuropeAid</w:t>
            </w:r>
            <w:proofErr w:type="spellEnd"/>
            <w:r>
              <w:t xml:space="preserve"> -</w:t>
            </w:r>
            <w:r>
              <w:lastRenderedPageBreak/>
              <w:t>External Actions of the EU</w:t>
            </w:r>
          </w:p>
        </w:tc>
        <w:tc>
          <w:tcPr>
            <w:tcW w:w="2271" w:type="dxa"/>
          </w:tcPr>
          <w:p w:rsidR="0074317B" w:rsidRDefault="0074317B" w:rsidP="00D7357B">
            <w:pPr>
              <w:jc w:val="center"/>
            </w:pPr>
            <w:r w:rsidRPr="00E10AC4">
              <w:rPr>
                <w:b/>
                <w:sz w:val="24"/>
              </w:rPr>
              <w:lastRenderedPageBreak/>
              <w:t>Leading by Example</w:t>
            </w:r>
            <w:r>
              <w:t xml:space="preserve">: </w:t>
            </w:r>
            <w:r>
              <w:lastRenderedPageBreak/>
              <w:t xml:space="preserve">Engagement of Turkish Cypriot and Greek Cypriot Business Leaders in Dialogue, Cooperation and Reconciliation </w:t>
            </w:r>
          </w:p>
        </w:tc>
        <w:tc>
          <w:tcPr>
            <w:tcW w:w="3387" w:type="dxa"/>
          </w:tcPr>
          <w:p w:rsidR="0074317B" w:rsidRDefault="0074317B" w:rsidP="009F3C7B">
            <w:pPr>
              <w:jc w:val="center"/>
            </w:pPr>
            <w:r>
              <w:lastRenderedPageBreak/>
              <w:t xml:space="preserve">The overall objectives to which the </w:t>
            </w:r>
            <w:r>
              <w:lastRenderedPageBreak/>
              <w:t>project will contribute is to increase the dialogue, trust, cooperation and reconciliation between civil societies, including the business communities, throughout the Cyprus, and to increase the involvement of Cypriot civil society in decision making processes at the political level.</w:t>
            </w:r>
          </w:p>
        </w:tc>
        <w:tc>
          <w:tcPr>
            <w:tcW w:w="1346" w:type="dxa"/>
          </w:tcPr>
          <w:p w:rsidR="0074317B" w:rsidRDefault="0074317B" w:rsidP="00316334">
            <w:pPr>
              <w:jc w:val="center"/>
            </w:pPr>
            <w:r>
              <w:lastRenderedPageBreak/>
              <w:t xml:space="preserve">07/2014 – </w:t>
            </w:r>
            <w:r>
              <w:lastRenderedPageBreak/>
              <w:t>6/201</w:t>
            </w:r>
            <w:r w:rsidR="00316334">
              <w:t>7</w:t>
            </w:r>
          </w:p>
        </w:tc>
        <w:tc>
          <w:tcPr>
            <w:tcW w:w="1225" w:type="dxa"/>
          </w:tcPr>
          <w:p w:rsidR="0074317B" w:rsidRDefault="0074317B" w:rsidP="00D7357B">
            <w:pPr>
              <w:jc w:val="center"/>
            </w:pPr>
            <w:r>
              <w:lastRenderedPageBreak/>
              <w:t>101,374.25</w:t>
            </w:r>
          </w:p>
        </w:tc>
        <w:tc>
          <w:tcPr>
            <w:tcW w:w="1618" w:type="dxa"/>
          </w:tcPr>
          <w:p w:rsidR="0074317B" w:rsidRDefault="0074317B" w:rsidP="00D7357B">
            <w:pPr>
              <w:jc w:val="center"/>
            </w:pPr>
            <w:r>
              <w:t>Partner</w:t>
            </w:r>
          </w:p>
        </w:tc>
      </w:tr>
      <w:tr w:rsidR="00316334" w:rsidRPr="00316334" w:rsidTr="00E10AC4">
        <w:tc>
          <w:tcPr>
            <w:tcW w:w="1786" w:type="dxa"/>
          </w:tcPr>
          <w:p w:rsidR="0074317B" w:rsidRPr="00316334" w:rsidRDefault="0074317B" w:rsidP="00D7357B">
            <w:pPr>
              <w:jc w:val="center"/>
              <w:rPr>
                <w:color w:val="FF0000"/>
              </w:rPr>
            </w:pPr>
            <w:r w:rsidRPr="00316334">
              <w:rPr>
                <w:color w:val="FF0000"/>
              </w:rPr>
              <w:lastRenderedPageBreak/>
              <w:t>JUST/2013</w:t>
            </w:r>
          </w:p>
        </w:tc>
        <w:tc>
          <w:tcPr>
            <w:tcW w:w="1543" w:type="dxa"/>
          </w:tcPr>
          <w:p w:rsidR="0074317B" w:rsidRPr="00316334" w:rsidRDefault="0074317B" w:rsidP="00F5407D">
            <w:pPr>
              <w:jc w:val="center"/>
              <w:rPr>
                <w:color w:val="FF0000"/>
              </w:rPr>
            </w:pPr>
            <w:r w:rsidRPr="00316334">
              <w:rPr>
                <w:color w:val="FF0000"/>
              </w:rPr>
              <w:t>Justice</w:t>
            </w:r>
          </w:p>
        </w:tc>
        <w:tc>
          <w:tcPr>
            <w:tcW w:w="2271" w:type="dxa"/>
          </w:tcPr>
          <w:p w:rsidR="0074317B" w:rsidRPr="00316334" w:rsidRDefault="0074317B" w:rsidP="00D7357B">
            <w:pPr>
              <w:jc w:val="center"/>
              <w:rPr>
                <w:b/>
                <w:color w:val="FF0000"/>
                <w:sz w:val="24"/>
              </w:rPr>
            </w:pPr>
            <w:r w:rsidRPr="00316334">
              <w:rPr>
                <w:b/>
                <w:color w:val="FF0000"/>
                <w:sz w:val="24"/>
              </w:rPr>
              <w:t>Mediation meets Judges!</w:t>
            </w:r>
          </w:p>
        </w:tc>
        <w:tc>
          <w:tcPr>
            <w:tcW w:w="3387" w:type="dxa"/>
          </w:tcPr>
          <w:p w:rsidR="0074317B" w:rsidRPr="00316334" w:rsidRDefault="0074317B" w:rsidP="00D7357B">
            <w:pPr>
              <w:jc w:val="center"/>
              <w:rPr>
                <w:color w:val="FF0000"/>
              </w:rPr>
            </w:pPr>
            <w:r w:rsidRPr="00316334">
              <w:rPr>
                <w:color w:val="FF0000"/>
              </w:rPr>
              <w:t>The aim of the project is to foster the use of mediation in civil and commercial disputes and to increase judicial referral of disputes to mediation, providing judges with a “direct” knowledge about mediation and a practical toolkit</w:t>
            </w:r>
          </w:p>
        </w:tc>
        <w:tc>
          <w:tcPr>
            <w:tcW w:w="1346" w:type="dxa"/>
          </w:tcPr>
          <w:p w:rsidR="0074317B" w:rsidRPr="00316334" w:rsidRDefault="0074317B" w:rsidP="00F44010">
            <w:pPr>
              <w:jc w:val="center"/>
              <w:rPr>
                <w:color w:val="FF0000"/>
              </w:rPr>
            </w:pPr>
            <w:r w:rsidRPr="00316334">
              <w:rPr>
                <w:color w:val="FF0000"/>
              </w:rPr>
              <w:t>03/2014 – 03/2016</w:t>
            </w:r>
          </w:p>
        </w:tc>
        <w:tc>
          <w:tcPr>
            <w:tcW w:w="1225" w:type="dxa"/>
          </w:tcPr>
          <w:p w:rsidR="0074317B" w:rsidRPr="00316334" w:rsidRDefault="0074317B" w:rsidP="00D7357B">
            <w:pPr>
              <w:jc w:val="center"/>
              <w:rPr>
                <w:color w:val="FF0000"/>
              </w:rPr>
            </w:pPr>
            <w:r w:rsidRPr="00316334">
              <w:rPr>
                <w:color w:val="FF0000"/>
              </w:rPr>
              <w:t>56,430.00</w:t>
            </w:r>
          </w:p>
        </w:tc>
        <w:tc>
          <w:tcPr>
            <w:tcW w:w="1618" w:type="dxa"/>
          </w:tcPr>
          <w:p w:rsidR="0074317B" w:rsidRPr="00316334" w:rsidRDefault="0074317B" w:rsidP="00D7357B">
            <w:pPr>
              <w:jc w:val="center"/>
              <w:rPr>
                <w:color w:val="FF0000"/>
              </w:rPr>
            </w:pPr>
            <w:r w:rsidRPr="00316334">
              <w:rPr>
                <w:color w:val="FF0000"/>
              </w:rPr>
              <w:t>Partner</w:t>
            </w:r>
          </w:p>
        </w:tc>
      </w:tr>
      <w:tr w:rsidR="00316334" w:rsidRPr="00316334" w:rsidTr="009B5241">
        <w:tc>
          <w:tcPr>
            <w:tcW w:w="1786" w:type="dxa"/>
          </w:tcPr>
          <w:p w:rsidR="00181BC9" w:rsidRPr="00316334" w:rsidRDefault="00181BC9" w:rsidP="009B5241">
            <w:pPr>
              <w:jc w:val="center"/>
              <w:rPr>
                <w:color w:val="FF0000"/>
              </w:rPr>
            </w:pPr>
            <w:r w:rsidRPr="00316334">
              <w:rPr>
                <w:color w:val="FF0000"/>
              </w:rPr>
              <w:t>MED 2007-2013</w:t>
            </w:r>
          </w:p>
        </w:tc>
        <w:tc>
          <w:tcPr>
            <w:tcW w:w="1543" w:type="dxa"/>
          </w:tcPr>
          <w:p w:rsidR="00181BC9" w:rsidRPr="00316334" w:rsidRDefault="00181BC9" w:rsidP="009B5241">
            <w:pPr>
              <w:jc w:val="center"/>
              <w:rPr>
                <w:color w:val="FF0000"/>
              </w:rPr>
            </w:pPr>
            <w:r w:rsidRPr="00316334">
              <w:rPr>
                <w:color w:val="FF0000"/>
              </w:rPr>
              <w:t>REGIO</w:t>
            </w:r>
          </w:p>
        </w:tc>
        <w:tc>
          <w:tcPr>
            <w:tcW w:w="2271" w:type="dxa"/>
          </w:tcPr>
          <w:p w:rsidR="00181BC9" w:rsidRPr="00316334" w:rsidRDefault="00181BC9" w:rsidP="009B5241">
            <w:pPr>
              <w:jc w:val="center"/>
              <w:rPr>
                <w:b/>
                <w:color w:val="FF0000"/>
                <w:sz w:val="24"/>
              </w:rPr>
            </w:pPr>
            <w:r w:rsidRPr="00316334">
              <w:rPr>
                <w:b/>
                <w:color w:val="FF0000"/>
                <w:sz w:val="24"/>
              </w:rPr>
              <w:t>FIREMED</w:t>
            </w:r>
          </w:p>
        </w:tc>
        <w:tc>
          <w:tcPr>
            <w:tcW w:w="3387" w:type="dxa"/>
          </w:tcPr>
          <w:p w:rsidR="00181BC9" w:rsidRPr="00316334" w:rsidRDefault="00181BC9" w:rsidP="009B5241">
            <w:pPr>
              <w:jc w:val="center"/>
              <w:rPr>
                <w:color w:val="FF0000"/>
              </w:rPr>
            </w:pPr>
            <w:r w:rsidRPr="00316334">
              <w:rPr>
                <w:rFonts w:eastAsia="FreeSerif" w:cs="FreeSerif"/>
                <w:color w:val="FF0000"/>
                <w:lang w:val="en-GB"/>
              </w:rPr>
              <w:t xml:space="preserve">FIREMED project intends to approach both LRAs and Financial Operators that are charged with supporting energy sector SME development, in order to propose innovative financial instruments for the Local Development plans as well as innovative services and improve the matching between SME requests of financial means and Investors. The project goals will consider the financial situation of many countries and the need to balance the public support of </w:t>
            </w:r>
            <w:r w:rsidRPr="00316334">
              <w:rPr>
                <w:rFonts w:eastAsia="FreeSerif" w:cs="FreeSerif"/>
                <w:color w:val="FF0000"/>
                <w:lang w:val="en-GB"/>
              </w:rPr>
              <w:lastRenderedPageBreak/>
              <w:t>Energy sector, strengthening the cooperation between private and public Institutions.</w:t>
            </w:r>
          </w:p>
        </w:tc>
        <w:tc>
          <w:tcPr>
            <w:tcW w:w="1346" w:type="dxa"/>
          </w:tcPr>
          <w:p w:rsidR="00181BC9" w:rsidRPr="00316334" w:rsidRDefault="00181BC9" w:rsidP="009B5241">
            <w:pPr>
              <w:jc w:val="center"/>
              <w:rPr>
                <w:color w:val="FF0000"/>
              </w:rPr>
            </w:pPr>
            <w:r w:rsidRPr="00316334">
              <w:rPr>
                <w:color w:val="FF0000"/>
              </w:rPr>
              <w:lastRenderedPageBreak/>
              <w:t>5/2013-6/2015</w:t>
            </w:r>
          </w:p>
        </w:tc>
        <w:tc>
          <w:tcPr>
            <w:tcW w:w="1225" w:type="dxa"/>
          </w:tcPr>
          <w:p w:rsidR="00181BC9" w:rsidRPr="00316334" w:rsidRDefault="00181BC9" w:rsidP="009B5241">
            <w:pPr>
              <w:jc w:val="center"/>
              <w:rPr>
                <w:color w:val="FF0000"/>
              </w:rPr>
            </w:pPr>
            <w:r w:rsidRPr="00316334">
              <w:rPr>
                <w:color w:val="FF0000"/>
              </w:rPr>
              <w:t>127142.40</w:t>
            </w:r>
          </w:p>
        </w:tc>
        <w:tc>
          <w:tcPr>
            <w:tcW w:w="1618" w:type="dxa"/>
          </w:tcPr>
          <w:p w:rsidR="00181BC9" w:rsidRPr="00316334" w:rsidRDefault="00181BC9" w:rsidP="009B5241">
            <w:pPr>
              <w:jc w:val="center"/>
              <w:rPr>
                <w:color w:val="FF0000"/>
              </w:rPr>
            </w:pPr>
            <w:r w:rsidRPr="00316334">
              <w:rPr>
                <w:color w:val="FF0000"/>
              </w:rPr>
              <w:t>Partner</w:t>
            </w:r>
          </w:p>
        </w:tc>
      </w:tr>
      <w:tr w:rsidR="00181BC9" w:rsidRPr="004F7546" w:rsidTr="009B5241">
        <w:tc>
          <w:tcPr>
            <w:tcW w:w="1786" w:type="dxa"/>
          </w:tcPr>
          <w:p w:rsidR="00181BC9" w:rsidRPr="00D731DF" w:rsidRDefault="00181BC9" w:rsidP="009B5241">
            <w:pPr>
              <w:jc w:val="center"/>
            </w:pPr>
            <w:r w:rsidRPr="00D731DF">
              <w:rPr>
                <w:rFonts w:eastAsia="Times New Roman" w:cs="Arial"/>
                <w:lang w:eastAsia="el-GR"/>
              </w:rPr>
              <w:lastRenderedPageBreak/>
              <w:t>ENPI CBC MED</w:t>
            </w:r>
          </w:p>
        </w:tc>
        <w:tc>
          <w:tcPr>
            <w:tcW w:w="1543" w:type="dxa"/>
          </w:tcPr>
          <w:p w:rsidR="00181BC9" w:rsidRPr="00D731DF" w:rsidRDefault="00181BC9" w:rsidP="009B5241">
            <w:pPr>
              <w:jc w:val="center"/>
            </w:pPr>
            <w:r w:rsidRPr="00D731DF">
              <w:rPr>
                <w:rFonts w:eastAsia="Times New Roman" w:cs="Arial"/>
                <w:lang w:eastAsia="el-GR"/>
              </w:rPr>
              <w:t>REGIO</w:t>
            </w:r>
          </w:p>
        </w:tc>
        <w:tc>
          <w:tcPr>
            <w:tcW w:w="2271" w:type="dxa"/>
          </w:tcPr>
          <w:p w:rsidR="00181BC9" w:rsidRPr="00E10AC4" w:rsidRDefault="00181BC9" w:rsidP="009B5241">
            <w:pPr>
              <w:jc w:val="center"/>
              <w:rPr>
                <w:b/>
                <w:sz w:val="24"/>
              </w:rPr>
            </w:pPr>
            <w:r w:rsidRPr="00E10AC4">
              <w:rPr>
                <w:b/>
                <w:sz w:val="24"/>
              </w:rPr>
              <w:t>STS MED ENPI</w:t>
            </w:r>
          </w:p>
        </w:tc>
        <w:tc>
          <w:tcPr>
            <w:tcW w:w="3387" w:type="dxa"/>
          </w:tcPr>
          <w:p w:rsidR="00181BC9" w:rsidRPr="00D731DF" w:rsidRDefault="00181BC9" w:rsidP="009B5241">
            <w:pPr>
              <w:jc w:val="center"/>
            </w:pPr>
            <w:r w:rsidRPr="00D731DF">
              <w:rPr>
                <w:rFonts w:cs="Calibri"/>
                <w:lang w:val="en-GB"/>
              </w:rPr>
              <w:t>The STS</w:t>
            </w:r>
            <w:r w:rsidRPr="00D731DF">
              <w:rPr>
                <w:rFonts w:cs="Cambria Math"/>
                <w:lang w:val="en-GB"/>
              </w:rPr>
              <w:t>‐</w:t>
            </w:r>
            <w:r w:rsidRPr="00D731DF">
              <w:rPr>
                <w:rFonts w:cs="Calibri"/>
                <w:lang w:val="en-GB"/>
              </w:rPr>
              <w:t xml:space="preserve">MED project aims </w:t>
            </w:r>
            <w:r w:rsidRPr="00D731DF">
              <w:rPr>
                <w:rFonts w:cs="Calibri-Italic"/>
                <w:iCs/>
                <w:lang w:val="en-GB"/>
              </w:rPr>
              <w:t xml:space="preserve">to demonstrate the effectiveness of CS (Concentrated Solar) small scale integrated systems and promote their wide adoption in the Mediterranean basin. </w:t>
            </w:r>
            <w:r w:rsidRPr="00D731DF">
              <w:rPr>
                <w:rFonts w:cs="Calibri"/>
                <w:lang w:val="en-GB"/>
              </w:rPr>
              <w:t>It also aims at facilitating the growth of local economies combines with an improved environmental sustainability.</w:t>
            </w:r>
          </w:p>
        </w:tc>
        <w:tc>
          <w:tcPr>
            <w:tcW w:w="1346" w:type="dxa"/>
          </w:tcPr>
          <w:p w:rsidR="00181BC9" w:rsidRPr="00D731DF" w:rsidRDefault="00181BC9" w:rsidP="009B5241">
            <w:pPr>
              <w:jc w:val="center"/>
            </w:pPr>
            <w:r>
              <w:t>2/2013-12</w:t>
            </w:r>
            <w:r w:rsidRPr="00D731DF">
              <w:t>/2016</w:t>
            </w:r>
          </w:p>
        </w:tc>
        <w:tc>
          <w:tcPr>
            <w:tcW w:w="1225" w:type="dxa"/>
          </w:tcPr>
          <w:p w:rsidR="00181BC9" w:rsidRPr="00D731DF" w:rsidRDefault="00181BC9" w:rsidP="009B5241">
            <w:pPr>
              <w:jc w:val="center"/>
            </w:pPr>
            <w:r w:rsidRPr="00D731DF">
              <w:t>117,158.00</w:t>
            </w:r>
          </w:p>
        </w:tc>
        <w:tc>
          <w:tcPr>
            <w:tcW w:w="1618" w:type="dxa"/>
          </w:tcPr>
          <w:p w:rsidR="00181BC9" w:rsidRPr="00D731DF" w:rsidRDefault="00181BC9" w:rsidP="009B5241">
            <w:pPr>
              <w:jc w:val="center"/>
            </w:pPr>
            <w:r w:rsidRPr="00D731DF">
              <w:t>Partner</w:t>
            </w:r>
          </w:p>
        </w:tc>
      </w:tr>
      <w:tr w:rsidR="00316334" w:rsidRPr="00316334" w:rsidTr="00E10AC4">
        <w:tc>
          <w:tcPr>
            <w:tcW w:w="1786" w:type="dxa"/>
          </w:tcPr>
          <w:p w:rsidR="0074317B" w:rsidRPr="00316334" w:rsidRDefault="0074317B" w:rsidP="00D7357B">
            <w:pPr>
              <w:jc w:val="center"/>
              <w:rPr>
                <w:color w:val="FF0000"/>
              </w:rPr>
            </w:pPr>
            <w:r w:rsidRPr="00316334">
              <w:rPr>
                <w:color w:val="FF0000"/>
              </w:rPr>
              <w:t>JUST/2011-2012</w:t>
            </w:r>
          </w:p>
        </w:tc>
        <w:tc>
          <w:tcPr>
            <w:tcW w:w="1543" w:type="dxa"/>
          </w:tcPr>
          <w:p w:rsidR="0074317B" w:rsidRPr="00316334" w:rsidRDefault="0074317B" w:rsidP="00F5407D">
            <w:pPr>
              <w:jc w:val="center"/>
              <w:rPr>
                <w:color w:val="FF0000"/>
              </w:rPr>
            </w:pPr>
            <w:r w:rsidRPr="00316334">
              <w:rPr>
                <w:color w:val="FF0000"/>
              </w:rPr>
              <w:t>Justice</w:t>
            </w:r>
          </w:p>
        </w:tc>
        <w:tc>
          <w:tcPr>
            <w:tcW w:w="2271" w:type="dxa"/>
          </w:tcPr>
          <w:p w:rsidR="0074317B" w:rsidRPr="00316334" w:rsidRDefault="0074317B" w:rsidP="00D7357B">
            <w:pPr>
              <w:jc w:val="center"/>
              <w:rPr>
                <w:b/>
                <w:color w:val="FF0000"/>
                <w:sz w:val="24"/>
              </w:rPr>
            </w:pPr>
            <w:r w:rsidRPr="00316334">
              <w:rPr>
                <w:b/>
                <w:color w:val="FF0000"/>
                <w:sz w:val="24"/>
              </w:rPr>
              <w:t>Go to Mediation!</w:t>
            </w:r>
          </w:p>
        </w:tc>
        <w:tc>
          <w:tcPr>
            <w:tcW w:w="3387" w:type="dxa"/>
          </w:tcPr>
          <w:p w:rsidR="0074317B" w:rsidRPr="00316334" w:rsidRDefault="0074317B" w:rsidP="00D7357B">
            <w:pPr>
              <w:jc w:val="center"/>
              <w:rPr>
                <w:color w:val="FF0000"/>
              </w:rPr>
            </w:pPr>
            <w:r w:rsidRPr="00316334">
              <w:rPr>
                <w:color w:val="FF0000"/>
              </w:rPr>
              <w:t>This project focuses on the promotion of mediation in civil and commercial disputes and the improvement of access to mediation for businesses</w:t>
            </w:r>
          </w:p>
        </w:tc>
        <w:tc>
          <w:tcPr>
            <w:tcW w:w="1346" w:type="dxa"/>
          </w:tcPr>
          <w:p w:rsidR="0074317B" w:rsidRPr="00316334" w:rsidRDefault="0074317B" w:rsidP="00F44010">
            <w:pPr>
              <w:jc w:val="center"/>
              <w:rPr>
                <w:color w:val="FF0000"/>
              </w:rPr>
            </w:pPr>
            <w:r w:rsidRPr="00316334">
              <w:rPr>
                <w:color w:val="FF0000"/>
              </w:rPr>
              <w:t>01/2013 – 12/2014</w:t>
            </w:r>
          </w:p>
        </w:tc>
        <w:tc>
          <w:tcPr>
            <w:tcW w:w="1225" w:type="dxa"/>
          </w:tcPr>
          <w:p w:rsidR="0074317B" w:rsidRPr="00316334" w:rsidRDefault="0074317B" w:rsidP="00D7357B">
            <w:pPr>
              <w:jc w:val="center"/>
              <w:rPr>
                <w:color w:val="FF0000"/>
              </w:rPr>
            </w:pPr>
            <w:r w:rsidRPr="00316334">
              <w:rPr>
                <w:color w:val="FF0000"/>
              </w:rPr>
              <w:t>43,226.00</w:t>
            </w:r>
          </w:p>
          <w:p w:rsidR="0074317B" w:rsidRPr="00316334" w:rsidRDefault="0074317B" w:rsidP="00D7357B">
            <w:pPr>
              <w:jc w:val="center"/>
              <w:rPr>
                <w:color w:val="FF0000"/>
              </w:rPr>
            </w:pPr>
          </w:p>
        </w:tc>
        <w:tc>
          <w:tcPr>
            <w:tcW w:w="1618" w:type="dxa"/>
          </w:tcPr>
          <w:p w:rsidR="0074317B" w:rsidRPr="00316334" w:rsidRDefault="0074317B" w:rsidP="00D7357B">
            <w:pPr>
              <w:jc w:val="center"/>
              <w:rPr>
                <w:color w:val="FF0000"/>
              </w:rPr>
            </w:pPr>
            <w:r w:rsidRPr="00316334">
              <w:rPr>
                <w:color w:val="FF0000"/>
              </w:rPr>
              <w:t>Partner</w:t>
            </w:r>
          </w:p>
        </w:tc>
      </w:tr>
      <w:tr w:rsidR="00316334" w:rsidRPr="00316334" w:rsidTr="009B5241">
        <w:tc>
          <w:tcPr>
            <w:tcW w:w="1786" w:type="dxa"/>
          </w:tcPr>
          <w:p w:rsidR="00181BC9" w:rsidRPr="00316334" w:rsidRDefault="00181BC9" w:rsidP="009B5241">
            <w:pPr>
              <w:jc w:val="center"/>
              <w:rPr>
                <w:color w:val="FF0000"/>
              </w:rPr>
            </w:pPr>
            <w:r w:rsidRPr="00316334">
              <w:rPr>
                <w:color w:val="FF0000"/>
              </w:rPr>
              <w:t>Interreg IIIA</w:t>
            </w:r>
          </w:p>
          <w:p w:rsidR="00181BC9" w:rsidRPr="00316334" w:rsidRDefault="00181BC9" w:rsidP="009B5241">
            <w:pPr>
              <w:jc w:val="center"/>
              <w:rPr>
                <w:color w:val="FF0000"/>
              </w:rPr>
            </w:pPr>
            <w:r w:rsidRPr="00316334">
              <w:rPr>
                <w:color w:val="FF0000"/>
              </w:rPr>
              <w:t>Greece-Cyprus</w:t>
            </w:r>
          </w:p>
        </w:tc>
        <w:tc>
          <w:tcPr>
            <w:tcW w:w="1543" w:type="dxa"/>
          </w:tcPr>
          <w:p w:rsidR="00181BC9" w:rsidRPr="00316334" w:rsidRDefault="00181BC9" w:rsidP="009B5241">
            <w:pPr>
              <w:jc w:val="center"/>
              <w:rPr>
                <w:color w:val="FF0000"/>
                <w:highlight w:val="yellow"/>
              </w:rPr>
            </w:pPr>
            <w:r w:rsidRPr="00316334">
              <w:rPr>
                <w:color w:val="FF0000"/>
                <w:lang w:val="en"/>
              </w:rPr>
              <w:t>ERDF</w:t>
            </w:r>
          </w:p>
        </w:tc>
        <w:tc>
          <w:tcPr>
            <w:tcW w:w="2271" w:type="dxa"/>
          </w:tcPr>
          <w:p w:rsidR="00181BC9" w:rsidRPr="00316334" w:rsidRDefault="00181BC9" w:rsidP="009B5241">
            <w:pPr>
              <w:jc w:val="center"/>
              <w:rPr>
                <w:b/>
                <w:color w:val="FF0000"/>
                <w:sz w:val="24"/>
              </w:rPr>
            </w:pPr>
            <w:r w:rsidRPr="00316334">
              <w:rPr>
                <w:b/>
                <w:color w:val="FF0000"/>
                <w:sz w:val="24"/>
              </w:rPr>
              <w:t>SYNPRATTO</w:t>
            </w:r>
          </w:p>
        </w:tc>
        <w:tc>
          <w:tcPr>
            <w:tcW w:w="3387" w:type="dxa"/>
          </w:tcPr>
          <w:p w:rsidR="00181BC9" w:rsidRPr="00316334" w:rsidRDefault="00181BC9" w:rsidP="009B5241">
            <w:pPr>
              <w:jc w:val="center"/>
              <w:rPr>
                <w:color w:val="FF0000"/>
                <w:highlight w:val="yellow"/>
              </w:rPr>
            </w:pPr>
            <w:r w:rsidRPr="00316334">
              <w:rPr>
                <w:rFonts w:eastAsia="Times New Roman" w:cs="Arial"/>
                <w:color w:val="FF0000"/>
                <w:lang w:val="en-GB"/>
              </w:rPr>
              <w:t xml:space="preserve">The </w:t>
            </w:r>
            <w:proofErr w:type="spellStart"/>
            <w:r w:rsidRPr="00316334">
              <w:rPr>
                <w:rFonts w:eastAsia="Times New Roman" w:cs="Arial"/>
                <w:color w:val="FF0000"/>
                <w:lang w:val="en-GB"/>
              </w:rPr>
              <w:t>Syn-Pratto</w:t>
            </w:r>
            <w:proofErr w:type="spellEnd"/>
            <w:r w:rsidRPr="00316334">
              <w:rPr>
                <w:rFonts w:eastAsia="Times New Roman" w:cs="Arial"/>
                <w:color w:val="FF0000"/>
                <w:lang w:val="en-GB"/>
              </w:rPr>
              <w:t xml:space="preserve"> project is called upon to handle the low competitiveness component of products and services, the lack of specialised and trained personnel of Cypriot and Aegean SME. Moreover, the existence of a big number of small and very small enterprises with export orientation which are unable to satisfy the demands of the temporary model of the operation of the markets is among project’s core objectives.</w:t>
            </w:r>
          </w:p>
        </w:tc>
        <w:tc>
          <w:tcPr>
            <w:tcW w:w="1346" w:type="dxa"/>
          </w:tcPr>
          <w:p w:rsidR="00181BC9" w:rsidRPr="00316334" w:rsidRDefault="00181BC9" w:rsidP="009B5241">
            <w:pPr>
              <w:jc w:val="center"/>
              <w:rPr>
                <w:color w:val="FF0000"/>
              </w:rPr>
            </w:pPr>
            <w:r w:rsidRPr="00316334">
              <w:rPr>
                <w:color w:val="FF0000"/>
              </w:rPr>
              <w:t>10/2012-09/2014</w:t>
            </w:r>
          </w:p>
        </w:tc>
        <w:tc>
          <w:tcPr>
            <w:tcW w:w="1225" w:type="dxa"/>
          </w:tcPr>
          <w:p w:rsidR="00181BC9" w:rsidRPr="00316334" w:rsidRDefault="00181BC9" w:rsidP="009B5241">
            <w:pPr>
              <w:jc w:val="center"/>
              <w:rPr>
                <w:color w:val="FF0000"/>
              </w:rPr>
            </w:pPr>
            <w:r w:rsidRPr="00316334">
              <w:rPr>
                <w:color w:val="FF0000"/>
              </w:rPr>
              <w:t>124,000.00</w:t>
            </w:r>
          </w:p>
        </w:tc>
        <w:tc>
          <w:tcPr>
            <w:tcW w:w="1618" w:type="dxa"/>
          </w:tcPr>
          <w:p w:rsidR="00181BC9" w:rsidRPr="00316334" w:rsidRDefault="00181BC9" w:rsidP="009B5241">
            <w:pPr>
              <w:jc w:val="center"/>
              <w:rPr>
                <w:color w:val="FF0000"/>
              </w:rPr>
            </w:pPr>
            <w:r w:rsidRPr="00316334">
              <w:rPr>
                <w:color w:val="FF0000"/>
              </w:rPr>
              <w:t>Leader</w:t>
            </w:r>
          </w:p>
        </w:tc>
      </w:tr>
      <w:tr w:rsidR="00316334" w:rsidRPr="00316334" w:rsidTr="00E10AC4">
        <w:tc>
          <w:tcPr>
            <w:tcW w:w="1786" w:type="dxa"/>
          </w:tcPr>
          <w:p w:rsidR="0074317B" w:rsidRPr="00316334" w:rsidRDefault="0074317B" w:rsidP="00D7357B">
            <w:pPr>
              <w:jc w:val="center"/>
              <w:rPr>
                <w:color w:val="FF0000"/>
              </w:rPr>
            </w:pPr>
            <w:r w:rsidRPr="00316334">
              <w:rPr>
                <w:color w:val="FF0000"/>
              </w:rPr>
              <w:lastRenderedPageBreak/>
              <w:t>Erasmus for Young Entrepreneurs</w:t>
            </w:r>
          </w:p>
        </w:tc>
        <w:tc>
          <w:tcPr>
            <w:tcW w:w="1543" w:type="dxa"/>
          </w:tcPr>
          <w:p w:rsidR="0074317B" w:rsidRPr="00316334" w:rsidRDefault="0074317B" w:rsidP="00F5407D">
            <w:pPr>
              <w:jc w:val="center"/>
              <w:rPr>
                <w:color w:val="FF0000"/>
              </w:rPr>
            </w:pPr>
            <w:r w:rsidRPr="00316334">
              <w:rPr>
                <w:color w:val="FF0000"/>
              </w:rPr>
              <w:t>Enterprise &amp; Industry</w:t>
            </w:r>
          </w:p>
        </w:tc>
        <w:tc>
          <w:tcPr>
            <w:tcW w:w="2271" w:type="dxa"/>
          </w:tcPr>
          <w:p w:rsidR="0074317B" w:rsidRPr="00316334" w:rsidRDefault="0074317B" w:rsidP="00E6160B">
            <w:pPr>
              <w:jc w:val="center"/>
              <w:rPr>
                <w:color w:val="FF0000"/>
              </w:rPr>
            </w:pPr>
            <w:r w:rsidRPr="00316334">
              <w:rPr>
                <w:color w:val="FF0000"/>
              </w:rPr>
              <w:t xml:space="preserve">Europe’s EYEs are open – </w:t>
            </w:r>
            <w:r w:rsidRPr="00316334">
              <w:rPr>
                <w:b/>
                <w:color w:val="FF0000"/>
                <w:sz w:val="24"/>
              </w:rPr>
              <w:t>EUEYEs</w:t>
            </w:r>
          </w:p>
        </w:tc>
        <w:tc>
          <w:tcPr>
            <w:tcW w:w="3387" w:type="dxa"/>
          </w:tcPr>
          <w:p w:rsidR="0074317B" w:rsidRPr="00316334" w:rsidRDefault="00E10AC4" w:rsidP="00E62802">
            <w:pPr>
              <w:jc w:val="center"/>
              <w:rPr>
                <w:color w:val="FF0000"/>
              </w:rPr>
            </w:pPr>
            <w:r w:rsidRPr="00316334">
              <w:rPr>
                <w:color w:val="FF0000"/>
              </w:rPr>
              <w:t xml:space="preserve">This project, </w:t>
            </w:r>
            <w:r w:rsidR="0074317B" w:rsidRPr="00316334">
              <w:rPr>
                <w:color w:val="FF0000"/>
              </w:rPr>
              <w:t>covering the geographical area of Cyprus, Greece and the Netherlands aims to create 60 successful relationships between new entrepreneurs and experienced host entrepreneurs in order to enhance the mobility of new or start up entrepreneurs and offer room for improvement in the competitiveness of enterprises</w:t>
            </w:r>
          </w:p>
        </w:tc>
        <w:tc>
          <w:tcPr>
            <w:tcW w:w="1346" w:type="dxa"/>
          </w:tcPr>
          <w:p w:rsidR="0074317B" w:rsidRPr="00316334" w:rsidRDefault="0074317B" w:rsidP="00D7357B">
            <w:pPr>
              <w:jc w:val="center"/>
              <w:rPr>
                <w:color w:val="FF0000"/>
              </w:rPr>
            </w:pPr>
            <w:r w:rsidRPr="00316334">
              <w:rPr>
                <w:color w:val="FF0000"/>
              </w:rPr>
              <w:t>05/2012-01/2014</w:t>
            </w:r>
          </w:p>
        </w:tc>
        <w:tc>
          <w:tcPr>
            <w:tcW w:w="1225" w:type="dxa"/>
          </w:tcPr>
          <w:p w:rsidR="0074317B" w:rsidRPr="00316334" w:rsidRDefault="0074317B" w:rsidP="00D7357B">
            <w:pPr>
              <w:jc w:val="center"/>
              <w:rPr>
                <w:color w:val="FF0000"/>
              </w:rPr>
            </w:pPr>
            <w:r w:rsidRPr="00316334">
              <w:rPr>
                <w:color w:val="FF0000"/>
              </w:rPr>
              <w:t>28,235.00</w:t>
            </w:r>
          </w:p>
          <w:p w:rsidR="0074317B" w:rsidRPr="00316334" w:rsidRDefault="0074317B" w:rsidP="00D7357B">
            <w:pPr>
              <w:jc w:val="center"/>
              <w:rPr>
                <w:color w:val="FF0000"/>
              </w:rPr>
            </w:pPr>
          </w:p>
        </w:tc>
        <w:tc>
          <w:tcPr>
            <w:tcW w:w="1618" w:type="dxa"/>
          </w:tcPr>
          <w:p w:rsidR="0074317B" w:rsidRPr="00316334" w:rsidRDefault="0074317B" w:rsidP="00D7357B">
            <w:pPr>
              <w:jc w:val="center"/>
              <w:rPr>
                <w:color w:val="FF0000"/>
              </w:rPr>
            </w:pPr>
            <w:r w:rsidRPr="00316334">
              <w:rPr>
                <w:color w:val="FF0000"/>
              </w:rPr>
              <w:t>Partner</w:t>
            </w:r>
          </w:p>
        </w:tc>
      </w:tr>
      <w:tr w:rsidR="00316334" w:rsidRPr="00316334" w:rsidTr="009B5241">
        <w:tc>
          <w:tcPr>
            <w:tcW w:w="1786" w:type="dxa"/>
          </w:tcPr>
          <w:p w:rsidR="00181BC9" w:rsidRPr="00316334" w:rsidRDefault="00181BC9" w:rsidP="009B5241">
            <w:pPr>
              <w:jc w:val="center"/>
              <w:rPr>
                <w:color w:val="FF0000"/>
              </w:rPr>
            </w:pPr>
            <w:r w:rsidRPr="00316334">
              <w:rPr>
                <w:color w:val="FF0000"/>
              </w:rPr>
              <w:t>MED 2007-2013</w:t>
            </w:r>
          </w:p>
        </w:tc>
        <w:tc>
          <w:tcPr>
            <w:tcW w:w="1543" w:type="dxa"/>
          </w:tcPr>
          <w:p w:rsidR="00181BC9" w:rsidRPr="00316334" w:rsidRDefault="00181BC9" w:rsidP="009B5241">
            <w:pPr>
              <w:jc w:val="center"/>
              <w:rPr>
                <w:color w:val="FF0000"/>
              </w:rPr>
            </w:pPr>
            <w:r w:rsidRPr="00316334">
              <w:rPr>
                <w:color w:val="FF0000"/>
              </w:rPr>
              <w:t>REGIO</w:t>
            </w:r>
          </w:p>
        </w:tc>
        <w:tc>
          <w:tcPr>
            <w:tcW w:w="2271" w:type="dxa"/>
          </w:tcPr>
          <w:p w:rsidR="00181BC9" w:rsidRPr="00316334" w:rsidRDefault="00181BC9" w:rsidP="009B5241">
            <w:pPr>
              <w:jc w:val="center"/>
              <w:rPr>
                <w:b/>
                <w:color w:val="FF0000"/>
                <w:sz w:val="24"/>
              </w:rPr>
            </w:pPr>
            <w:r w:rsidRPr="00316334">
              <w:rPr>
                <w:b/>
                <w:color w:val="FF0000"/>
                <w:sz w:val="24"/>
              </w:rPr>
              <w:t>ECO FUNDING</w:t>
            </w:r>
          </w:p>
        </w:tc>
        <w:tc>
          <w:tcPr>
            <w:tcW w:w="3387" w:type="dxa"/>
          </w:tcPr>
          <w:p w:rsidR="00181BC9" w:rsidRPr="00316334" w:rsidRDefault="00181BC9" w:rsidP="009B5241">
            <w:pPr>
              <w:jc w:val="center"/>
              <w:rPr>
                <w:color w:val="FF0000"/>
              </w:rPr>
            </w:pPr>
            <w:r w:rsidRPr="00316334">
              <w:rPr>
                <w:rFonts w:eastAsia="FreeSerif" w:cs="FreeSerif"/>
                <w:color w:val="FF0000"/>
                <w:lang w:val="en-GB"/>
              </w:rPr>
              <w:t>ECOFUNDING is a project designed to create new investment possibilities that favour green SMEs. The main objective of the project is to create a comprehensive platform of financial resources that link investors and entrepreneurs and include all financial engineering mechanisms that are promoted by the EU. At the same time, it will provide innovative solutions to financing concerning venture capital, private investment and the creation of public-private cooperation structures.</w:t>
            </w:r>
          </w:p>
        </w:tc>
        <w:tc>
          <w:tcPr>
            <w:tcW w:w="1346" w:type="dxa"/>
          </w:tcPr>
          <w:p w:rsidR="00181BC9" w:rsidRPr="00316334" w:rsidRDefault="00181BC9" w:rsidP="009B5241">
            <w:pPr>
              <w:jc w:val="center"/>
              <w:rPr>
                <w:color w:val="FF0000"/>
              </w:rPr>
            </w:pPr>
            <w:r w:rsidRPr="00316334">
              <w:rPr>
                <w:color w:val="FF0000"/>
              </w:rPr>
              <w:t>1/2012-12/2015</w:t>
            </w:r>
          </w:p>
        </w:tc>
        <w:tc>
          <w:tcPr>
            <w:tcW w:w="1225" w:type="dxa"/>
          </w:tcPr>
          <w:p w:rsidR="00181BC9" w:rsidRPr="00316334" w:rsidRDefault="00181BC9" w:rsidP="009B5241">
            <w:pPr>
              <w:jc w:val="center"/>
              <w:rPr>
                <w:color w:val="FF0000"/>
              </w:rPr>
            </w:pPr>
            <w:r w:rsidRPr="00316334">
              <w:rPr>
                <w:color w:val="FF0000"/>
              </w:rPr>
              <w:t>117,130.00</w:t>
            </w:r>
          </w:p>
        </w:tc>
        <w:tc>
          <w:tcPr>
            <w:tcW w:w="1618" w:type="dxa"/>
          </w:tcPr>
          <w:p w:rsidR="00181BC9" w:rsidRPr="00316334" w:rsidRDefault="00181BC9" w:rsidP="009B5241">
            <w:pPr>
              <w:jc w:val="center"/>
              <w:rPr>
                <w:color w:val="FF0000"/>
              </w:rPr>
            </w:pPr>
            <w:r w:rsidRPr="00316334">
              <w:rPr>
                <w:color w:val="FF0000"/>
              </w:rPr>
              <w:t xml:space="preserve">Partner </w:t>
            </w:r>
          </w:p>
        </w:tc>
      </w:tr>
      <w:tr w:rsidR="00316334" w:rsidRPr="00316334" w:rsidTr="009B5241">
        <w:tc>
          <w:tcPr>
            <w:tcW w:w="1786" w:type="dxa"/>
          </w:tcPr>
          <w:p w:rsidR="00181BC9" w:rsidRPr="00316334" w:rsidRDefault="00181BC9" w:rsidP="009B5241">
            <w:pPr>
              <w:jc w:val="center"/>
              <w:rPr>
                <w:color w:val="FF0000"/>
              </w:rPr>
            </w:pPr>
            <w:r w:rsidRPr="00316334">
              <w:rPr>
                <w:color w:val="FF0000"/>
              </w:rPr>
              <w:t>Intelligent Energy Europe</w:t>
            </w:r>
          </w:p>
        </w:tc>
        <w:tc>
          <w:tcPr>
            <w:tcW w:w="1543" w:type="dxa"/>
          </w:tcPr>
          <w:p w:rsidR="00181BC9" w:rsidRPr="00316334" w:rsidRDefault="00181BC9" w:rsidP="009B5241">
            <w:pPr>
              <w:jc w:val="center"/>
              <w:rPr>
                <w:color w:val="FF0000"/>
              </w:rPr>
            </w:pPr>
            <w:r w:rsidRPr="00316334">
              <w:rPr>
                <w:color w:val="FF0000"/>
              </w:rPr>
              <w:t>EACI</w:t>
            </w:r>
          </w:p>
        </w:tc>
        <w:tc>
          <w:tcPr>
            <w:tcW w:w="2271" w:type="dxa"/>
          </w:tcPr>
          <w:p w:rsidR="00181BC9" w:rsidRPr="00316334" w:rsidRDefault="00181BC9" w:rsidP="009B5241">
            <w:pPr>
              <w:jc w:val="center"/>
              <w:rPr>
                <w:b/>
                <w:color w:val="FF0000"/>
                <w:sz w:val="24"/>
              </w:rPr>
            </w:pPr>
            <w:r w:rsidRPr="00316334">
              <w:rPr>
                <w:b/>
                <w:color w:val="FF0000"/>
                <w:sz w:val="24"/>
              </w:rPr>
              <w:t>ENESKILLS</w:t>
            </w:r>
          </w:p>
        </w:tc>
        <w:tc>
          <w:tcPr>
            <w:tcW w:w="3387" w:type="dxa"/>
          </w:tcPr>
          <w:p w:rsidR="00181BC9" w:rsidRPr="00316334" w:rsidRDefault="00181BC9" w:rsidP="009B5241">
            <w:pPr>
              <w:jc w:val="center"/>
              <w:rPr>
                <w:color w:val="FF0000"/>
              </w:rPr>
            </w:pPr>
            <w:r w:rsidRPr="00316334">
              <w:rPr>
                <w:color w:val="FF0000"/>
              </w:rPr>
              <w:t xml:space="preserve">The project aim is to enhance the vocational skills and knowledge of construction and on-site workers in existing and emerging technologies aiding towards implementing the </w:t>
            </w:r>
            <w:r w:rsidRPr="00316334">
              <w:rPr>
                <w:color w:val="FF0000"/>
              </w:rPr>
              <w:lastRenderedPageBreak/>
              <w:t>EU directives for energy efficiency of buildings and near zero energy buildings</w:t>
            </w:r>
          </w:p>
        </w:tc>
        <w:tc>
          <w:tcPr>
            <w:tcW w:w="1346" w:type="dxa"/>
          </w:tcPr>
          <w:p w:rsidR="00181BC9" w:rsidRPr="00316334" w:rsidRDefault="00181BC9" w:rsidP="009B5241">
            <w:pPr>
              <w:jc w:val="center"/>
              <w:rPr>
                <w:color w:val="FF0000"/>
              </w:rPr>
            </w:pPr>
            <w:r w:rsidRPr="00316334">
              <w:rPr>
                <w:color w:val="FF0000"/>
              </w:rPr>
              <w:lastRenderedPageBreak/>
              <w:t>11/2011-05/2013</w:t>
            </w:r>
          </w:p>
        </w:tc>
        <w:tc>
          <w:tcPr>
            <w:tcW w:w="1225" w:type="dxa"/>
          </w:tcPr>
          <w:p w:rsidR="00181BC9" w:rsidRPr="00316334" w:rsidRDefault="00181BC9" w:rsidP="009B5241">
            <w:pPr>
              <w:jc w:val="center"/>
              <w:rPr>
                <w:color w:val="FF0000"/>
              </w:rPr>
            </w:pPr>
            <w:r w:rsidRPr="00316334">
              <w:rPr>
                <w:color w:val="FF0000"/>
              </w:rPr>
              <w:t>9,425.00</w:t>
            </w:r>
          </w:p>
        </w:tc>
        <w:tc>
          <w:tcPr>
            <w:tcW w:w="1618" w:type="dxa"/>
          </w:tcPr>
          <w:p w:rsidR="00181BC9" w:rsidRPr="00316334" w:rsidRDefault="00207317" w:rsidP="009B5241">
            <w:pPr>
              <w:jc w:val="center"/>
              <w:rPr>
                <w:color w:val="FF0000"/>
              </w:rPr>
            </w:pPr>
            <w:r w:rsidRPr="00316334">
              <w:rPr>
                <w:color w:val="FF0000"/>
              </w:rPr>
              <w:t>P</w:t>
            </w:r>
            <w:r w:rsidR="00181BC9" w:rsidRPr="00316334">
              <w:rPr>
                <w:color w:val="FF0000"/>
              </w:rPr>
              <w:t>artner</w:t>
            </w:r>
          </w:p>
        </w:tc>
      </w:tr>
      <w:tr w:rsidR="00316334" w:rsidRPr="00316334" w:rsidTr="009B5241">
        <w:tc>
          <w:tcPr>
            <w:tcW w:w="1786" w:type="dxa"/>
          </w:tcPr>
          <w:p w:rsidR="00181BC9" w:rsidRPr="00316334" w:rsidRDefault="00181BC9" w:rsidP="009B5241">
            <w:pPr>
              <w:jc w:val="center"/>
              <w:rPr>
                <w:color w:val="FF0000"/>
              </w:rPr>
            </w:pPr>
            <w:r w:rsidRPr="00316334">
              <w:rPr>
                <w:color w:val="FF0000"/>
              </w:rPr>
              <w:lastRenderedPageBreak/>
              <w:t>Interreg IIIA Greece-Cyprus</w:t>
            </w:r>
          </w:p>
        </w:tc>
        <w:tc>
          <w:tcPr>
            <w:tcW w:w="1543" w:type="dxa"/>
          </w:tcPr>
          <w:p w:rsidR="00181BC9" w:rsidRPr="00316334" w:rsidRDefault="00181BC9" w:rsidP="009B5241">
            <w:pPr>
              <w:jc w:val="center"/>
              <w:rPr>
                <w:color w:val="FF0000"/>
                <w:highlight w:val="yellow"/>
              </w:rPr>
            </w:pPr>
            <w:r w:rsidRPr="00316334">
              <w:rPr>
                <w:color w:val="FF0000"/>
                <w:lang w:val="en"/>
              </w:rPr>
              <w:t>REGIO</w:t>
            </w:r>
          </w:p>
        </w:tc>
        <w:tc>
          <w:tcPr>
            <w:tcW w:w="2271" w:type="dxa"/>
          </w:tcPr>
          <w:p w:rsidR="00181BC9" w:rsidRPr="00316334" w:rsidRDefault="00181BC9" w:rsidP="009B5241">
            <w:pPr>
              <w:jc w:val="center"/>
              <w:rPr>
                <w:b/>
                <w:color w:val="FF0000"/>
                <w:sz w:val="24"/>
              </w:rPr>
            </w:pPr>
            <w:r w:rsidRPr="00316334">
              <w:rPr>
                <w:b/>
                <w:color w:val="FF0000"/>
                <w:sz w:val="24"/>
              </w:rPr>
              <w:t>SYNERGO</w:t>
            </w:r>
          </w:p>
        </w:tc>
        <w:tc>
          <w:tcPr>
            <w:tcW w:w="3387" w:type="dxa"/>
          </w:tcPr>
          <w:p w:rsidR="00181BC9" w:rsidRPr="00316334" w:rsidRDefault="00181BC9" w:rsidP="009B5241">
            <w:pPr>
              <w:jc w:val="center"/>
              <w:rPr>
                <w:color w:val="FF0000"/>
                <w:highlight w:val="yellow"/>
              </w:rPr>
            </w:pPr>
            <w:r w:rsidRPr="00316334">
              <w:rPr>
                <w:rFonts w:eastAsia="Times New Roman" w:cs="Arial"/>
                <w:color w:val="FF0000"/>
                <w:lang w:val="en-GB"/>
              </w:rPr>
              <w:t xml:space="preserve">The </w:t>
            </w:r>
            <w:proofErr w:type="spellStart"/>
            <w:r w:rsidRPr="00316334">
              <w:rPr>
                <w:rFonts w:eastAsia="Times New Roman" w:cs="Arial"/>
                <w:color w:val="FF0000"/>
                <w:lang w:val="en-GB"/>
              </w:rPr>
              <w:t>Syn</w:t>
            </w:r>
            <w:proofErr w:type="spellEnd"/>
            <w:r w:rsidRPr="00316334">
              <w:rPr>
                <w:rFonts w:eastAsia="Times New Roman" w:cs="Arial"/>
                <w:color w:val="FF0000"/>
                <w:lang w:val="en-GB"/>
              </w:rPr>
              <w:t>-Ergo project is called upon to handle the weakness of development of extrovert actions of the small and medium sized enterprises of the border area Crete-Cyprus due to their island and isolation features. Also in the framework of this project a common brand name will be created for Crete and Cyprus products in the European markets.</w:t>
            </w:r>
          </w:p>
        </w:tc>
        <w:tc>
          <w:tcPr>
            <w:tcW w:w="1346" w:type="dxa"/>
          </w:tcPr>
          <w:p w:rsidR="00181BC9" w:rsidRPr="00316334" w:rsidRDefault="00181BC9" w:rsidP="009B5241">
            <w:pPr>
              <w:jc w:val="center"/>
              <w:rPr>
                <w:color w:val="FF0000"/>
              </w:rPr>
            </w:pPr>
            <w:r w:rsidRPr="00316334">
              <w:rPr>
                <w:color w:val="FF0000"/>
              </w:rPr>
              <w:t>05/2011-11/2013</w:t>
            </w:r>
          </w:p>
        </w:tc>
        <w:tc>
          <w:tcPr>
            <w:tcW w:w="1225" w:type="dxa"/>
          </w:tcPr>
          <w:p w:rsidR="00181BC9" w:rsidRPr="00316334" w:rsidRDefault="00181BC9" w:rsidP="009B5241">
            <w:pPr>
              <w:jc w:val="center"/>
              <w:rPr>
                <w:color w:val="FF0000"/>
              </w:rPr>
            </w:pPr>
            <w:r w:rsidRPr="00316334">
              <w:rPr>
                <w:color w:val="FF0000"/>
              </w:rPr>
              <w:t>243,400.00</w:t>
            </w:r>
          </w:p>
        </w:tc>
        <w:tc>
          <w:tcPr>
            <w:tcW w:w="1618" w:type="dxa"/>
          </w:tcPr>
          <w:p w:rsidR="00181BC9" w:rsidRPr="00316334" w:rsidRDefault="00181BC9" w:rsidP="009B5241">
            <w:pPr>
              <w:jc w:val="center"/>
              <w:rPr>
                <w:color w:val="FF0000"/>
              </w:rPr>
            </w:pPr>
            <w:r w:rsidRPr="00316334">
              <w:rPr>
                <w:color w:val="FF0000"/>
              </w:rPr>
              <w:t>Partner</w:t>
            </w:r>
          </w:p>
        </w:tc>
      </w:tr>
      <w:tr w:rsidR="00316334" w:rsidRPr="00316334" w:rsidTr="00E10AC4">
        <w:tc>
          <w:tcPr>
            <w:tcW w:w="1786" w:type="dxa"/>
          </w:tcPr>
          <w:p w:rsidR="0074317B" w:rsidRPr="00316334" w:rsidRDefault="0074317B" w:rsidP="00D7357B">
            <w:pPr>
              <w:jc w:val="center"/>
              <w:rPr>
                <w:color w:val="FF0000"/>
              </w:rPr>
            </w:pPr>
            <w:r w:rsidRPr="00316334">
              <w:rPr>
                <w:color w:val="FF0000"/>
              </w:rPr>
              <w:t>Erasmus for Young Entrepreneurs</w:t>
            </w:r>
          </w:p>
        </w:tc>
        <w:tc>
          <w:tcPr>
            <w:tcW w:w="1543" w:type="dxa"/>
          </w:tcPr>
          <w:p w:rsidR="0074317B" w:rsidRPr="00316334" w:rsidRDefault="0074317B" w:rsidP="00F5407D">
            <w:pPr>
              <w:jc w:val="center"/>
              <w:rPr>
                <w:color w:val="FF0000"/>
              </w:rPr>
            </w:pPr>
            <w:r w:rsidRPr="00316334">
              <w:rPr>
                <w:color w:val="FF0000"/>
              </w:rPr>
              <w:t>Enterprise &amp; Industry</w:t>
            </w:r>
          </w:p>
        </w:tc>
        <w:tc>
          <w:tcPr>
            <w:tcW w:w="2271" w:type="dxa"/>
          </w:tcPr>
          <w:p w:rsidR="0074317B" w:rsidRPr="00316334" w:rsidRDefault="0074317B" w:rsidP="00D7357B">
            <w:pPr>
              <w:jc w:val="center"/>
              <w:rPr>
                <w:color w:val="FF0000"/>
              </w:rPr>
            </w:pPr>
            <w:r w:rsidRPr="00316334">
              <w:rPr>
                <w:color w:val="FF0000"/>
              </w:rPr>
              <w:t xml:space="preserve">Cyprus’s EYEs are open </w:t>
            </w:r>
            <w:r w:rsidR="00E10AC4" w:rsidRPr="00316334">
              <w:rPr>
                <w:color w:val="FF0000"/>
              </w:rPr>
              <w:t>–</w:t>
            </w:r>
            <w:r w:rsidRPr="00316334">
              <w:rPr>
                <w:color w:val="FF0000"/>
              </w:rPr>
              <w:t xml:space="preserve"> </w:t>
            </w:r>
            <w:r w:rsidRPr="00316334">
              <w:rPr>
                <w:b/>
                <w:color w:val="FF0000"/>
                <w:sz w:val="24"/>
              </w:rPr>
              <w:t>CYEYEs</w:t>
            </w:r>
          </w:p>
        </w:tc>
        <w:tc>
          <w:tcPr>
            <w:tcW w:w="3387" w:type="dxa"/>
          </w:tcPr>
          <w:p w:rsidR="0074317B" w:rsidRPr="00316334" w:rsidRDefault="0074317B" w:rsidP="00D7357B">
            <w:pPr>
              <w:jc w:val="center"/>
              <w:rPr>
                <w:color w:val="FF0000"/>
              </w:rPr>
            </w:pPr>
            <w:r w:rsidRPr="00316334">
              <w:rPr>
                <w:color w:val="FF0000"/>
              </w:rPr>
              <w:t xml:space="preserve">The CYEYEs project focused on the area of Cyprus only with the aim of developing 60 successful relationships under the Erasmus for Young Entrepreneurs </w:t>
            </w:r>
            <w:proofErr w:type="spellStart"/>
            <w:r w:rsidRPr="00316334">
              <w:rPr>
                <w:color w:val="FF0000"/>
              </w:rPr>
              <w:t>programme</w:t>
            </w:r>
            <w:proofErr w:type="spellEnd"/>
          </w:p>
        </w:tc>
        <w:tc>
          <w:tcPr>
            <w:tcW w:w="1346" w:type="dxa"/>
          </w:tcPr>
          <w:p w:rsidR="0074317B" w:rsidRPr="00316334" w:rsidRDefault="0074317B" w:rsidP="00D7357B">
            <w:pPr>
              <w:jc w:val="center"/>
              <w:rPr>
                <w:color w:val="FF0000"/>
              </w:rPr>
            </w:pPr>
            <w:r w:rsidRPr="00316334">
              <w:rPr>
                <w:color w:val="FF0000"/>
              </w:rPr>
              <w:t>02/2011-10/2012</w:t>
            </w:r>
          </w:p>
        </w:tc>
        <w:tc>
          <w:tcPr>
            <w:tcW w:w="1225" w:type="dxa"/>
          </w:tcPr>
          <w:p w:rsidR="0074317B" w:rsidRPr="00316334" w:rsidRDefault="0074317B" w:rsidP="00D7357B">
            <w:pPr>
              <w:jc w:val="center"/>
              <w:rPr>
                <w:color w:val="FF0000"/>
              </w:rPr>
            </w:pPr>
            <w:r w:rsidRPr="00316334">
              <w:rPr>
                <w:color w:val="FF0000"/>
              </w:rPr>
              <w:t>14,926.00</w:t>
            </w:r>
          </w:p>
        </w:tc>
        <w:tc>
          <w:tcPr>
            <w:tcW w:w="1618" w:type="dxa"/>
          </w:tcPr>
          <w:p w:rsidR="0074317B" w:rsidRPr="00316334" w:rsidRDefault="0074317B" w:rsidP="00D7357B">
            <w:pPr>
              <w:jc w:val="center"/>
              <w:rPr>
                <w:color w:val="FF0000"/>
              </w:rPr>
            </w:pPr>
            <w:r w:rsidRPr="00316334">
              <w:rPr>
                <w:color w:val="FF0000"/>
              </w:rPr>
              <w:t>Partner</w:t>
            </w:r>
          </w:p>
        </w:tc>
      </w:tr>
      <w:tr w:rsidR="00316334" w:rsidRPr="00316334" w:rsidTr="00E10AC4">
        <w:tc>
          <w:tcPr>
            <w:tcW w:w="1786" w:type="dxa"/>
          </w:tcPr>
          <w:p w:rsidR="00E10AC4" w:rsidRPr="00316334" w:rsidRDefault="00E10AC4" w:rsidP="00D7357B">
            <w:pPr>
              <w:jc w:val="center"/>
              <w:rPr>
                <w:color w:val="FF0000"/>
              </w:rPr>
            </w:pPr>
            <w:r w:rsidRPr="00316334">
              <w:rPr>
                <w:rFonts w:eastAsia="Times New Roman" w:cs="Arial"/>
                <w:color w:val="FF0000"/>
                <w:lang w:eastAsia="el-GR"/>
              </w:rPr>
              <w:t>CBC MED</w:t>
            </w:r>
          </w:p>
        </w:tc>
        <w:tc>
          <w:tcPr>
            <w:tcW w:w="1543" w:type="dxa"/>
          </w:tcPr>
          <w:p w:rsidR="00E10AC4" w:rsidRPr="00316334" w:rsidRDefault="00E10AC4" w:rsidP="00F5407D">
            <w:pPr>
              <w:jc w:val="center"/>
              <w:rPr>
                <w:color w:val="FF0000"/>
              </w:rPr>
            </w:pPr>
            <w:r w:rsidRPr="00316334">
              <w:rPr>
                <w:rFonts w:eastAsia="Times New Roman" w:cs="Arial"/>
                <w:color w:val="FF0000"/>
                <w:lang w:eastAsia="el-GR"/>
              </w:rPr>
              <w:t>REGIO</w:t>
            </w:r>
          </w:p>
        </w:tc>
        <w:tc>
          <w:tcPr>
            <w:tcW w:w="2271" w:type="dxa"/>
          </w:tcPr>
          <w:p w:rsidR="00E10AC4" w:rsidRPr="00316334" w:rsidRDefault="00E10AC4" w:rsidP="00D7357B">
            <w:pPr>
              <w:jc w:val="center"/>
              <w:rPr>
                <w:b/>
                <w:color w:val="FF0000"/>
                <w:sz w:val="24"/>
              </w:rPr>
            </w:pPr>
            <w:r w:rsidRPr="00316334">
              <w:rPr>
                <w:b/>
                <w:color w:val="FF0000"/>
                <w:sz w:val="24"/>
              </w:rPr>
              <w:t>SCORE</w:t>
            </w:r>
          </w:p>
        </w:tc>
        <w:tc>
          <w:tcPr>
            <w:tcW w:w="3387" w:type="dxa"/>
          </w:tcPr>
          <w:p w:rsidR="00E10AC4" w:rsidRPr="00316334" w:rsidRDefault="00E10AC4" w:rsidP="006340CB">
            <w:pPr>
              <w:jc w:val="center"/>
              <w:rPr>
                <w:color w:val="FF0000"/>
              </w:rPr>
            </w:pPr>
            <w:r w:rsidRPr="00316334">
              <w:rPr>
                <w:rFonts w:ascii="Helvetica" w:hAnsi="Helvetica"/>
                <w:color w:val="FF0000"/>
              </w:rPr>
              <w:t>The SCORE project aimed to provide effective strategies and tools to improve policy making and implementation for energy efficiency in the buildings sector</w:t>
            </w:r>
          </w:p>
        </w:tc>
        <w:tc>
          <w:tcPr>
            <w:tcW w:w="1346" w:type="dxa"/>
          </w:tcPr>
          <w:p w:rsidR="00E10AC4" w:rsidRPr="00316334" w:rsidRDefault="00E10AC4" w:rsidP="00D7357B">
            <w:pPr>
              <w:jc w:val="center"/>
              <w:rPr>
                <w:color w:val="FF0000"/>
              </w:rPr>
            </w:pPr>
            <w:r w:rsidRPr="00316334">
              <w:rPr>
                <w:color w:val="FF0000"/>
              </w:rPr>
              <w:t>1/2010-11/2012</w:t>
            </w:r>
          </w:p>
        </w:tc>
        <w:tc>
          <w:tcPr>
            <w:tcW w:w="1225" w:type="dxa"/>
          </w:tcPr>
          <w:p w:rsidR="00E10AC4" w:rsidRPr="00316334" w:rsidRDefault="00E10AC4" w:rsidP="00D7357B">
            <w:pPr>
              <w:jc w:val="center"/>
              <w:rPr>
                <w:color w:val="FF0000"/>
              </w:rPr>
            </w:pPr>
            <w:r w:rsidRPr="00316334">
              <w:rPr>
                <w:color w:val="FF0000"/>
              </w:rPr>
              <w:t>127,500.00</w:t>
            </w:r>
          </w:p>
        </w:tc>
        <w:tc>
          <w:tcPr>
            <w:tcW w:w="1618" w:type="dxa"/>
          </w:tcPr>
          <w:p w:rsidR="00E10AC4" w:rsidRPr="00316334" w:rsidRDefault="00E10AC4" w:rsidP="00D7357B">
            <w:pPr>
              <w:jc w:val="center"/>
              <w:rPr>
                <w:color w:val="FF0000"/>
              </w:rPr>
            </w:pPr>
            <w:r w:rsidRPr="00316334">
              <w:rPr>
                <w:color w:val="FF0000"/>
              </w:rPr>
              <w:t>Partner</w:t>
            </w:r>
          </w:p>
        </w:tc>
      </w:tr>
      <w:tr w:rsidR="00316334" w:rsidRPr="00316334" w:rsidTr="00E10AC4">
        <w:tc>
          <w:tcPr>
            <w:tcW w:w="1786" w:type="dxa"/>
          </w:tcPr>
          <w:p w:rsidR="00E10AC4" w:rsidRPr="00316334" w:rsidRDefault="00E10AC4" w:rsidP="00D7357B">
            <w:pPr>
              <w:jc w:val="center"/>
              <w:rPr>
                <w:color w:val="FF0000"/>
              </w:rPr>
            </w:pPr>
            <w:r w:rsidRPr="00316334">
              <w:rPr>
                <w:color w:val="FF0000"/>
              </w:rPr>
              <w:t xml:space="preserve">Lifelong </w:t>
            </w:r>
            <w:proofErr w:type="spellStart"/>
            <w:r w:rsidRPr="00316334">
              <w:rPr>
                <w:color w:val="FF0000"/>
              </w:rPr>
              <w:t>Programme</w:t>
            </w:r>
            <w:proofErr w:type="spellEnd"/>
          </w:p>
        </w:tc>
        <w:tc>
          <w:tcPr>
            <w:tcW w:w="1543" w:type="dxa"/>
          </w:tcPr>
          <w:p w:rsidR="00E10AC4" w:rsidRPr="00316334" w:rsidRDefault="00E10AC4" w:rsidP="00F5407D">
            <w:pPr>
              <w:jc w:val="center"/>
              <w:rPr>
                <w:color w:val="FF0000"/>
              </w:rPr>
            </w:pPr>
            <w:r w:rsidRPr="00316334">
              <w:rPr>
                <w:color w:val="FF0000"/>
              </w:rPr>
              <w:t>Education &amp; Culture</w:t>
            </w:r>
          </w:p>
        </w:tc>
        <w:tc>
          <w:tcPr>
            <w:tcW w:w="2271" w:type="dxa"/>
          </w:tcPr>
          <w:p w:rsidR="00E10AC4" w:rsidRPr="00316334" w:rsidRDefault="00E10AC4" w:rsidP="00D7357B">
            <w:pPr>
              <w:jc w:val="center"/>
              <w:rPr>
                <w:color w:val="FF0000"/>
              </w:rPr>
            </w:pPr>
            <w:r w:rsidRPr="00316334">
              <w:rPr>
                <w:color w:val="FF0000"/>
              </w:rPr>
              <w:t>Validation of Formal, Non formal and Informal Learning: the case study of Personal Assistants -</w:t>
            </w:r>
            <w:r w:rsidRPr="00316334">
              <w:rPr>
                <w:b/>
                <w:color w:val="FF0000"/>
                <w:sz w:val="24"/>
              </w:rPr>
              <w:t>EUPA</w:t>
            </w:r>
          </w:p>
        </w:tc>
        <w:tc>
          <w:tcPr>
            <w:tcW w:w="3387" w:type="dxa"/>
          </w:tcPr>
          <w:p w:rsidR="00E10AC4" w:rsidRPr="00316334" w:rsidRDefault="00E10AC4" w:rsidP="00D7357B">
            <w:pPr>
              <w:jc w:val="center"/>
              <w:rPr>
                <w:color w:val="FF0000"/>
              </w:rPr>
            </w:pPr>
            <w:r w:rsidRPr="00316334">
              <w:rPr>
                <w:color w:val="FF0000"/>
              </w:rPr>
              <w:t>EUPA’s main objective was to develop a model for the recognition and validation of the qualifications of Personal Assistants based on learning outcomes.</w:t>
            </w:r>
          </w:p>
        </w:tc>
        <w:tc>
          <w:tcPr>
            <w:tcW w:w="1346" w:type="dxa"/>
          </w:tcPr>
          <w:p w:rsidR="00E10AC4" w:rsidRPr="00316334" w:rsidRDefault="00E10AC4" w:rsidP="00D7357B">
            <w:pPr>
              <w:jc w:val="center"/>
              <w:rPr>
                <w:color w:val="FF0000"/>
              </w:rPr>
            </w:pPr>
            <w:r w:rsidRPr="00316334">
              <w:rPr>
                <w:color w:val="FF0000"/>
              </w:rPr>
              <w:t>10/2009-07/2012</w:t>
            </w:r>
          </w:p>
        </w:tc>
        <w:tc>
          <w:tcPr>
            <w:tcW w:w="1225" w:type="dxa"/>
          </w:tcPr>
          <w:p w:rsidR="00E10AC4" w:rsidRPr="00316334" w:rsidRDefault="00E10AC4" w:rsidP="00D7357B">
            <w:pPr>
              <w:jc w:val="center"/>
              <w:rPr>
                <w:color w:val="FF0000"/>
              </w:rPr>
            </w:pPr>
            <w:r w:rsidRPr="00316334">
              <w:rPr>
                <w:color w:val="FF0000"/>
              </w:rPr>
              <w:t>8,175.00</w:t>
            </w:r>
          </w:p>
        </w:tc>
        <w:tc>
          <w:tcPr>
            <w:tcW w:w="1618" w:type="dxa"/>
          </w:tcPr>
          <w:p w:rsidR="00E10AC4" w:rsidRPr="00316334" w:rsidRDefault="00E10AC4" w:rsidP="00D7357B">
            <w:pPr>
              <w:jc w:val="center"/>
              <w:rPr>
                <w:color w:val="FF0000"/>
              </w:rPr>
            </w:pPr>
            <w:r w:rsidRPr="00316334">
              <w:rPr>
                <w:color w:val="FF0000"/>
              </w:rPr>
              <w:t>Partner</w:t>
            </w:r>
          </w:p>
        </w:tc>
      </w:tr>
    </w:tbl>
    <w:p w:rsidR="00B70216" w:rsidRPr="004F7546" w:rsidRDefault="00B70216">
      <w:pPr>
        <w:rPr>
          <w:sz w:val="20"/>
          <w:szCs w:val="20"/>
        </w:rPr>
      </w:pPr>
    </w:p>
    <w:sectPr w:rsidR="00B70216" w:rsidRPr="004F7546" w:rsidSect="00B70216">
      <w:headerReference w:type="default" r:id="rId7"/>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1DF" w:rsidRDefault="00D731DF" w:rsidP="00D731DF">
      <w:pPr>
        <w:spacing w:after="0" w:line="240" w:lineRule="auto"/>
      </w:pPr>
      <w:r>
        <w:separator/>
      </w:r>
    </w:p>
  </w:endnote>
  <w:endnote w:type="continuationSeparator" w:id="0">
    <w:p w:rsidR="00D731DF" w:rsidRDefault="00D731DF" w:rsidP="00D7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Free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E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libri-Italic">
    <w:altName w:val="Arial"/>
    <w:panose1 w:val="00000000000000000000"/>
    <w:charset w:val="00"/>
    <w:family w:val="swiss"/>
    <w:notTrueType/>
    <w:pitch w:val="default"/>
    <w:sig w:usb0="00000001"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543774"/>
      <w:docPartObj>
        <w:docPartGallery w:val="Page Numbers (Bottom of Page)"/>
        <w:docPartUnique/>
      </w:docPartObj>
    </w:sdtPr>
    <w:sdtEndPr>
      <w:rPr>
        <w:noProof/>
      </w:rPr>
    </w:sdtEndPr>
    <w:sdtContent>
      <w:p w:rsidR="00D731DF" w:rsidRDefault="00D731DF">
        <w:pPr>
          <w:pStyle w:val="Footer"/>
          <w:jc w:val="right"/>
        </w:pPr>
        <w:r>
          <w:fldChar w:fldCharType="begin"/>
        </w:r>
        <w:r>
          <w:instrText xml:space="preserve"> PAGE   \* MERGEFORMAT </w:instrText>
        </w:r>
        <w:r>
          <w:fldChar w:fldCharType="separate"/>
        </w:r>
        <w:r w:rsidR="00961D91">
          <w:rPr>
            <w:noProof/>
          </w:rPr>
          <w:t>8</w:t>
        </w:r>
        <w:r>
          <w:rPr>
            <w:noProof/>
          </w:rPr>
          <w:fldChar w:fldCharType="end"/>
        </w:r>
      </w:p>
    </w:sdtContent>
  </w:sdt>
  <w:p w:rsidR="00D731DF" w:rsidRDefault="00D73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1DF" w:rsidRDefault="00D731DF" w:rsidP="00D731DF">
      <w:pPr>
        <w:spacing w:after="0" w:line="240" w:lineRule="auto"/>
      </w:pPr>
      <w:r>
        <w:separator/>
      </w:r>
    </w:p>
  </w:footnote>
  <w:footnote w:type="continuationSeparator" w:id="0">
    <w:p w:rsidR="00D731DF" w:rsidRDefault="00D731DF" w:rsidP="00D73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C4" w:rsidRDefault="00E10AC4">
    <w:pPr>
      <w:pStyle w:val="Header"/>
    </w:pPr>
    <w:r>
      <w:rPr>
        <w:noProof/>
        <w:lang w:val="en-GB" w:eastAsia="en-GB"/>
      </w:rPr>
      <w:drawing>
        <wp:anchor distT="0" distB="0" distL="114300" distR="114300" simplePos="0" relativeHeight="251658240" behindDoc="0" locked="0" layoutInCell="1" allowOverlap="1">
          <wp:simplePos x="0" y="0"/>
          <wp:positionH relativeFrom="column">
            <wp:posOffset>-2540</wp:posOffset>
          </wp:positionH>
          <wp:positionV relativeFrom="paragraph">
            <wp:posOffset>-285750</wp:posOffset>
          </wp:positionV>
          <wp:extent cx="1732915" cy="9239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915" cy="9239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16"/>
    <w:rsid w:val="00016838"/>
    <w:rsid w:val="00046E04"/>
    <w:rsid w:val="00050743"/>
    <w:rsid w:val="00061482"/>
    <w:rsid w:val="000706C6"/>
    <w:rsid w:val="000950C5"/>
    <w:rsid w:val="00096E88"/>
    <w:rsid w:val="000B1B3B"/>
    <w:rsid w:val="000D646A"/>
    <w:rsid w:val="000E748C"/>
    <w:rsid w:val="000E7F10"/>
    <w:rsid w:val="000F1033"/>
    <w:rsid w:val="000F3B55"/>
    <w:rsid w:val="000F5501"/>
    <w:rsid w:val="00127244"/>
    <w:rsid w:val="00127A90"/>
    <w:rsid w:val="00133754"/>
    <w:rsid w:val="00164F43"/>
    <w:rsid w:val="00181BC9"/>
    <w:rsid w:val="00183911"/>
    <w:rsid w:val="00186DB9"/>
    <w:rsid w:val="0019016C"/>
    <w:rsid w:val="001A7462"/>
    <w:rsid w:val="001C0D57"/>
    <w:rsid w:val="001E363D"/>
    <w:rsid w:val="001E6499"/>
    <w:rsid w:val="00207317"/>
    <w:rsid w:val="0024043E"/>
    <w:rsid w:val="002523ED"/>
    <w:rsid w:val="002551B0"/>
    <w:rsid w:val="002774A3"/>
    <w:rsid w:val="00277CEC"/>
    <w:rsid w:val="0028432F"/>
    <w:rsid w:val="002972F7"/>
    <w:rsid w:val="002D785E"/>
    <w:rsid w:val="002E3564"/>
    <w:rsid w:val="002F78CE"/>
    <w:rsid w:val="003019D0"/>
    <w:rsid w:val="00316334"/>
    <w:rsid w:val="00316609"/>
    <w:rsid w:val="00331E4B"/>
    <w:rsid w:val="00333E40"/>
    <w:rsid w:val="00341B44"/>
    <w:rsid w:val="0034543D"/>
    <w:rsid w:val="00347229"/>
    <w:rsid w:val="00365D52"/>
    <w:rsid w:val="003A05F6"/>
    <w:rsid w:val="003A07B1"/>
    <w:rsid w:val="003A56BD"/>
    <w:rsid w:val="003D3991"/>
    <w:rsid w:val="003E7C66"/>
    <w:rsid w:val="0041449C"/>
    <w:rsid w:val="00414D1D"/>
    <w:rsid w:val="004167F1"/>
    <w:rsid w:val="004316C2"/>
    <w:rsid w:val="00437A74"/>
    <w:rsid w:val="004464C6"/>
    <w:rsid w:val="00462E8B"/>
    <w:rsid w:val="00465357"/>
    <w:rsid w:val="0048222F"/>
    <w:rsid w:val="004936DC"/>
    <w:rsid w:val="004B1E59"/>
    <w:rsid w:val="004C7D1A"/>
    <w:rsid w:val="004F6311"/>
    <w:rsid w:val="004F6C57"/>
    <w:rsid w:val="004F7546"/>
    <w:rsid w:val="00505E30"/>
    <w:rsid w:val="00532CE1"/>
    <w:rsid w:val="00541275"/>
    <w:rsid w:val="00545840"/>
    <w:rsid w:val="00550C7A"/>
    <w:rsid w:val="00561085"/>
    <w:rsid w:val="0056250C"/>
    <w:rsid w:val="00570FFE"/>
    <w:rsid w:val="005724CD"/>
    <w:rsid w:val="00574304"/>
    <w:rsid w:val="00574AA0"/>
    <w:rsid w:val="005C154D"/>
    <w:rsid w:val="005C2DBD"/>
    <w:rsid w:val="005D2EB3"/>
    <w:rsid w:val="0062296E"/>
    <w:rsid w:val="00627D67"/>
    <w:rsid w:val="006340CB"/>
    <w:rsid w:val="006643E6"/>
    <w:rsid w:val="00671992"/>
    <w:rsid w:val="0068520C"/>
    <w:rsid w:val="00685AE8"/>
    <w:rsid w:val="006A4198"/>
    <w:rsid w:val="006C7ADA"/>
    <w:rsid w:val="006D3303"/>
    <w:rsid w:val="006E323D"/>
    <w:rsid w:val="006E618D"/>
    <w:rsid w:val="006F1AAB"/>
    <w:rsid w:val="00703703"/>
    <w:rsid w:val="00715C55"/>
    <w:rsid w:val="007170D6"/>
    <w:rsid w:val="007326F3"/>
    <w:rsid w:val="00735DE8"/>
    <w:rsid w:val="0074317B"/>
    <w:rsid w:val="007507EF"/>
    <w:rsid w:val="00761CBC"/>
    <w:rsid w:val="00786F7A"/>
    <w:rsid w:val="007870F0"/>
    <w:rsid w:val="0079202A"/>
    <w:rsid w:val="00793426"/>
    <w:rsid w:val="00796FDC"/>
    <w:rsid w:val="007A09A0"/>
    <w:rsid w:val="007A61E4"/>
    <w:rsid w:val="007A7114"/>
    <w:rsid w:val="007C2929"/>
    <w:rsid w:val="007E3774"/>
    <w:rsid w:val="007E45FC"/>
    <w:rsid w:val="007F418C"/>
    <w:rsid w:val="008326E3"/>
    <w:rsid w:val="008425E6"/>
    <w:rsid w:val="00843EEC"/>
    <w:rsid w:val="008678DE"/>
    <w:rsid w:val="0089141F"/>
    <w:rsid w:val="00897FA1"/>
    <w:rsid w:val="008A07A5"/>
    <w:rsid w:val="008B416F"/>
    <w:rsid w:val="008C6579"/>
    <w:rsid w:val="00906A3A"/>
    <w:rsid w:val="00933EDD"/>
    <w:rsid w:val="00936A57"/>
    <w:rsid w:val="009541B6"/>
    <w:rsid w:val="009546D6"/>
    <w:rsid w:val="0095552B"/>
    <w:rsid w:val="009563C5"/>
    <w:rsid w:val="0095712E"/>
    <w:rsid w:val="00961D91"/>
    <w:rsid w:val="009A3176"/>
    <w:rsid w:val="009B5B53"/>
    <w:rsid w:val="009E5833"/>
    <w:rsid w:val="009F056F"/>
    <w:rsid w:val="009F3C7B"/>
    <w:rsid w:val="00A06223"/>
    <w:rsid w:val="00A10E1F"/>
    <w:rsid w:val="00A2341F"/>
    <w:rsid w:val="00A43C84"/>
    <w:rsid w:val="00A44944"/>
    <w:rsid w:val="00A50883"/>
    <w:rsid w:val="00A77C52"/>
    <w:rsid w:val="00A8004A"/>
    <w:rsid w:val="00A808B3"/>
    <w:rsid w:val="00A83414"/>
    <w:rsid w:val="00A96E22"/>
    <w:rsid w:val="00AB3277"/>
    <w:rsid w:val="00AB7544"/>
    <w:rsid w:val="00AC0EBC"/>
    <w:rsid w:val="00AC70F3"/>
    <w:rsid w:val="00AC7D8A"/>
    <w:rsid w:val="00AD0B31"/>
    <w:rsid w:val="00AE263D"/>
    <w:rsid w:val="00B12114"/>
    <w:rsid w:val="00B313C4"/>
    <w:rsid w:val="00B51CFF"/>
    <w:rsid w:val="00B56CE7"/>
    <w:rsid w:val="00B60B7D"/>
    <w:rsid w:val="00B62B17"/>
    <w:rsid w:val="00B70216"/>
    <w:rsid w:val="00B76A1F"/>
    <w:rsid w:val="00B831A8"/>
    <w:rsid w:val="00B86927"/>
    <w:rsid w:val="00B92D35"/>
    <w:rsid w:val="00BA1F6B"/>
    <w:rsid w:val="00BB6604"/>
    <w:rsid w:val="00BD2C0A"/>
    <w:rsid w:val="00C0320E"/>
    <w:rsid w:val="00C05B37"/>
    <w:rsid w:val="00C153B0"/>
    <w:rsid w:val="00C42479"/>
    <w:rsid w:val="00C55D72"/>
    <w:rsid w:val="00C813CD"/>
    <w:rsid w:val="00C978F2"/>
    <w:rsid w:val="00CA1E99"/>
    <w:rsid w:val="00CA7C23"/>
    <w:rsid w:val="00CF17AD"/>
    <w:rsid w:val="00D204A5"/>
    <w:rsid w:val="00D30DE5"/>
    <w:rsid w:val="00D34ECA"/>
    <w:rsid w:val="00D37B8D"/>
    <w:rsid w:val="00D42950"/>
    <w:rsid w:val="00D51597"/>
    <w:rsid w:val="00D5717A"/>
    <w:rsid w:val="00D601E2"/>
    <w:rsid w:val="00D64FC8"/>
    <w:rsid w:val="00D731DF"/>
    <w:rsid w:val="00D7357B"/>
    <w:rsid w:val="00D83D87"/>
    <w:rsid w:val="00DB5EF9"/>
    <w:rsid w:val="00DD1853"/>
    <w:rsid w:val="00DD6D2C"/>
    <w:rsid w:val="00DE046B"/>
    <w:rsid w:val="00E00857"/>
    <w:rsid w:val="00E10AC4"/>
    <w:rsid w:val="00E6160B"/>
    <w:rsid w:val="00E62802"/>
    <w:rsid w:val="00E7508A"/>
    <w:rsid w:val="00EA1843"/>
    <w:rsid w:val="00EA6C39"/>
    <w:rsid w:val="00EB2B07"/>
    <w:rsid w:val="00EF1D02"/>
    <w:rsid w:val="00F0305B"/>
    <w:rsid w:val="00F13354"/>
    <w:rsid w:val="00F26BB5"/>
    <w:rsid w:val="00F30C9C"/>
    <w:rsid w:val="00F34949"/>
    <w:rsid w:val="00F44010"/>
    <w:rsid w:val="00F5407D"/>
    <w:rsid w:val="00F6181A"/>
    <w:rsid w:val="00F67978"/>
    <w:rsid w:val="00F73483"/>
    <w:rsid w:val="00F74FA0"/>
    <w:rsid w:val="00FA0381"/>
    <w:rsid w:val="00FB7B4A"/>
    <w:rsid w:val="00FC0743"/>
    <w:rsid w:val="00FC0C4A"/>
    <w:rsid w:val="00FC304B"/>
    <w:rsid w:val="00FD262B"/>
    <w:rsid w:val="00FD5FEC"/>
    <w:rsid w:val="00FD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1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1DF"/>
  </w:style>
  <w:style w:type="paragraph" w:styleId="Footer">
    <w:name w:val="footer"/>
    <w:basedOn w:val="Normal"/>
    <w:link w:val="FooterChar"/>
    <w:uiPriority w:val="99"/>
    <w:unhideWhenUsed/>
    <w:rsid w:val="00D731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1DF"/>
  </w:style>
  <w:style w:type="paragraph" w:styleId="BalloonText">
    <w:name w:val="Balloon Text"/>
    <w:basedOn w:val="Normal"/>
    <w:link w:val="BalloonTextChar"/>
    <w:uiPriority w:val="99"/>
    <w:semiHidden/>
    <w:unhideWhenUsed/>
    <w:rsid w:val="00D34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1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1DF"/>
  </w:style>
  <w:style w:type="paragraph" w:styleId="Footer">
    <w:name w:val="footer"/>
    <w:basedOn w:val="Normal"/>
    <w:link w:val="FooterChar"/>
    <w:uiPriority w:val="99"/>
    <w:unhideWhenUsed/>
    <w:rsid w:val="00D731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1DF"/>
  </w:style>
  <w:style w:type="paragraph" w:styleId="BalloonText">
    <w:name w:val="Balloon Text"/>
    <w:basedOn w:val="Normal"/>
    <w:link w:val="BalloonTextChar"/>
    <w:uiPriority w:val="99"/>
    <w:semiHidden/>
    <w:unhideWhenUsed/>
    <w:rsid w:val="00D34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CCCI</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Demetra Palaonta</dc:creator>
  <cp:lastModifiedBy>Demetra Palaonda</cp:lastModifiedBy>
  <cp:revision>3</cp:revision>
  <cp:lastPrinted>2016-07-04T08:07:00Z</cp:lastPrinted>
  <dcterms:created xsi:type="dcterms:W3CDTF">2017-02-01T09:13:00Z</dcterms:created>
  <dcterms:modified xsi:type="dcterms:W3CDTF">2017-02-01T09:21:00Z</dcterms:modified>
</cp:coreProperties>
</file>